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86D5" w14:textId="13692D76" w:rsidR="00240C48" w:rsidRPr="00950BAE" w:rsidRDefault="00240C48" w:rsidP="00240C48">
      <w:pPr>
        <w:pStyle w:val="Heading2"/>
        <w:rPr>
          <w:lang w:eastAsia="en-NZ"/>
        </w:rPr>
      </w:pPr>
      <w:bookmarkStart w:id="0" w:name="_GoBack"/>
      <w:bookmarkEnd w:id="0"/>
      <w:r>
        <w:rPr>
          <w:lang w:val="en-US"/>
        </w:rPr>
        <w:t xml:space="preserve">Module 7 - </w:t>
      </w:r>
      <w:r>
        <w:rPr>
          <w:lang w:eastAsia="en-NZ"/>
        </w:rPr>
        <w:t>Key changes to the CCCFA</w:t>
      </w:r>
    </w:p>
    <w:p w14:paraId="22926FC6" w14:textId="77777777" w:rsidR="00240C48" w:rsidRPr="000522B0" w:rsidRDefault="00240C48" w:rsidP="00240C48">
      <w:pPr>
        <w:rPr>
          <w:lang w:eastAsia="en-NZ"/>
        </w:rPr>
      </w:pPr>
    </w:p>
    <w:p w14:paraId="66D6C2F6" w14:textId="77777777" w:rsidR="00240C48" w:rsidRPr="00F433C3" w:rsidRDefault="00240C48" w:rsidP="00240C48">
      <w:pPr>
        <w:pStyle w:val="ListParagraph"/>
        <w:numPr>
          <w:ilvl w:val="0"/>
          <w:numId w:val="7"/>
        </w:numPr>
        <w:spacing w:after="160"/>
        <w:ind w:left="360"/>
        <w:rPr>
          <w:lang w:eastAsia="en-NZ"/>
        </w:rPr>
      </w:pPr>
      <w:bookmarkStart w:id="1" w:name="_Hlk60305710"/>
      <w:r w:rsidRPr="00F433C3">
        <w:rPr>
          <w:lang w:eastAsia="en-NZ"/>
        </w:rPr>
        <w:t>Introducing an interest rate and cost of credit cap on high-cost loans</w:t>
      </w:r>
      <w:r>
        <w:rPr>
          <w:lang w:eastAsia="en-NZ"/>
        </w:rPr>
        <w:t>:</w:t>
      </w:r>
    </w:p>
    <w:p w14:paraId="580254DF" w14:textId="77777777" w:rsidR="00240C48" w:rsidRPr="00F433C3" w:rsidRDefault="00240C48" w:rsidP="00240C48">
      <w:pPr>
        <w:pStyle w:val="ListParagraph"/>
        <w:numPr>
          <w:ilvl w:val="0"/>
          <w:numId w:val="1"/>
        </w:numPr>
        <w:spacing w:after="160"/>
        <w:ind w:left="720"/>
        <w:rPr>
          <w:lang w:eastAsia="en-NZ"/>
        </w:rPr>
      </w:pPr>
      <w:r>
        <w:rPr>
          <w:lang w:eastAsia="en-NZ"/>
        </w:rPr>
        <w:t>l</w:t>
      </w:r>
      <w:r w:rsidRPr="00F433C3">
        <w:rPr>
          <w:lang w:eastAsia="en-NZ"/>
        </w:rPr>
        <w:t>enders will not be allowed to charge more than 0.8 per cent of interest and fees per day for a loan</w:t>
      </w:r>
    </w:p>
    <w:p w14:paraId="6C7ED25D" w14:textId="77777777" w:rsidR="00240C48" w:rsidRPr="00F433C3" w:rsidRDefault="00240C48" w:rsidP="00240C48">
      <w:pPr>
        <w:pStyle w:val="ListParagraph"/>
        <w:numPr>
          <w:ilvl w:val="0"/>
          <w:numId w:val="1"/>
        </w:numPr>
        <w:spacing w:after="160"/>
        <w:ind w:left="720"/>
        <w:rPr>
          <w:lang w:eastAsia="en-NZ"/>
        </w:rPr>
      </w:pPr>
      <w:r>
        <w:rPr>
          <w:lang w:eastAsia="en-NZ"/>
        </w:rPr>
        <w:t>a</w:t>
      </w:r>
      <w:r w:rsidRPr="00F433C3">
        <w:rPr>
          <w:lang w:eastAsia="en-NZ"/>
        </w:rPr>
        <w:t xml:space="preserve"> cost of credit cap will be introduced with a limit on interest and fees charged on a high-cost loan to 100% of the amount borrowed. For example, if an individual borrows $500, they will never have to pay the lender back more than $1000, including all fees and interest</w:t>
      </w:r>
    </w:p>
    <w:p w14:paraId="58593471" w14:textId="77777777" w:rsidR="00240C48" w:rsidRPr="00F433C3" w:rsidRDefault="00240C48" w:rsidP="00240C48">
      <w:pPr>
        <w:pStyle w:val="ListParagraph"/>
        <w:numPr>
          <w:ilvl w:val="0"/>
          <w:numId w:val="1"/>
        </w:numPr>
        <w:spacing w:after="160"/>
        <w:ind w:left="720"/>
        <w:rPr>
          <w:lang w:eastAsia="en-NZ"/>
        </w:rPr>
      </w:pPr>
      <w:r>
        <w:rPr>
          <w:lang w:eastAsia="en-NZ"/>
        </w:rPr>
        <w:t>t</w:t>
      </w:r>
      <w:r w:rsidRPr="00F433C3">
        <w:rPr>
          <w:lang w:eastAsia="en-NZ"/>
        </w:rPr>
        <w:t>his type of cap is very similar to the one used in the United Kingdom since 2015</w:t>
      </w:r>
    </w:p>
    <w:p w14:paraId="713DBA39" w14:textId="77777777" w:rsidR="00240C48" w:rsidRDefault="00240C48" w:rsidP="00240C48">
      <w:pPr>
        <w:pStyle w:val="ListParagraph"/>
        <w:numPr>
          <w:ilvl w:val="0"/>
          <w:numId w:val="1"/>
        </w:numPr>
        <w:spacing w:after="160"/>
        <w:ind w:left="720"/>
        <w:rPr>
          <w:lang w:eastAsia="en-NZ"/>
        </w:rPr>
      </w:pPr>
      <w:r>
        <w:rPr>
          <w:lang w:eastAsia="en-NZ"/>
        </w:rPr>
        <w:t>t</w:t>
      </w:r>
      <w:r w:rsidRPr="00F433C3">
        <w:rPr>
          <w:lang w:eastAsia="en-NZ"/>
        </w:rPr>
        <w:t xml:space="preserve">hese restrictions will be reviewed once they have been in place for </w:t>
      </w:r>
      <w:r>
        <w:rPr>
          <w:lang w:eastAsia="en-NZ"/>
        </w:rPr>
        <w:t>three</w:t>
      </w:r>
      <w:r w:rsidRPr="00F433C3">
        <w:rPr>
          <w:lang w:eastAsia="en-NZ"/>
        </w:rPr>
        <w:t xml:space="preserve"> years.</w:t>
      </w:r>
    </w:p>
    <w:p w14:paraId="681E217A" w14:textId="77777777" w:rsidR="00240C48" w:rsidRPr="00F433C3" w:rsidRDefault="00240C48" w:rsidP="00240C48">
      <w:pPr>
        <w:spacing w:after="160"/>
        <w:rPr>
          <w:lang w:eastAsia="en-NZ"/>
        </w:rPr>
      </w:pPr>
    </w:p>
    <w:p w14:paraId="66F7406D" w14:textId="77777777" w:rsidR="00240C48" w:rsidRPr="00F433C3" w:rsidRDefault="00240C48" w:rsidP="00240C48">
      <w:pPr>
        <w:pStyle w:val="ListParagraph"/>
        <w:numPr>
          <w:ilvl w:val="0"/>
          <w:numId w:val="7"/>
        </w:numPr>
        <w:spacing w:after="160"/>
        <w:ind w:left="360"/>
        <w:rPr>
          <w:lang w:eastAsia="en-NZ"/>
        </w:rPr>
      </w:pPr>
      <w:r w:rsidRPr="00F433C3">
        <w:rPr>
          <w:lang w:eastAsia="en-NZ"/>
        </w:rPr>
        <w:t>New prescriptive requirements when lenders assess the affordability and suitability of loans</w:t>
      </w:r>
      <w:r>
        <w:rPr>
          <w:lang w:eastAsia="en-NZ"/>
        </w:rPr>
        <w:t>:</w:t>
      </w:r>
    </w:p>
    <w:p w14:paraId="366F8026" w14:textId="77777777" w:rsidR="00240C48" w:rsidRPr="00F433C3" w:rsidRDefault="00240C48" w:rsidP="00240C48">
      <w:pPr>
        <w:pStyle w:val="ListParagraph"/>
        <w:numPr>
          <w:ilvl w:val="0"/>
          <w:numId w:val="2"/>
        </w:numPr>
        <w:spacing w:after="160"/>
        <w:ind w:left="720"/>
        <w:rPr>
          <w:lang w:eastAsia="en-NZ"/>
        </w:rPr>
      </w:pPr>
      <w:r>
        <w:rPr>
          <w:lang w:eastAsia="en-NZ"/>
        </w:rPr>
        <w:t>l</w:t>
      </w:r>
      <w:r w:rsidRPr="00F433C3">
        <w:rPr>
          <w:lang w:eastAsia="en-NZ"/>
        </w:rPr>
        <w:t xml:space="preserve">enders are currently required to make reasonable inquiries to be satisfied that the borrower </w:t>
      </w:r>
      <w:proofErr w:type="gramStart"/>
      <w:r w:rsidRPr="00F433C3">
        <w:rPr>
          <w:lang w:eastAsia="en-NZ"/>
        </w:rPr>
        <w:t>is able to</w:t>
      </w:r>
      <w:proofErr w:type="gramEnd"/>
      <w:r w:rsidRPr="00F433C3">
        <w:rPr>
          <w:lang w:eastAsia="en-NZ"/>
        </w:rPr>
        <w:t xml:space="preserve"> repay the loan without substantial hardship and that the loan is likely to meet the borrower’s needs</w:t>
      </w:r>
    </w:p>
    <w:p w14:paraId="6E93F084" w14:textId="77777777" w:rsidR="00240C48" w:rsidRPr="00F433C3" w:rsidRDefault="00240C48" w:rsidP="00240C48">
      <w:pPr>
        <w:pStyle w:val="ListParagraph"/>
        <w:numPr>
          <w:ilvl w:val="0"/>
          <w:numId w:val="2"/>
        </w:numPr>
        <w:spacing w:after="160"/>
        <w:ind w:left="720"/>
        <w:rPr>
          <w:lang w:eastAsia="en-NZ"/>
        </w:rPr>
      </w:pPr>
      <w:r>
        <w:rPr>
          <w:lang w:eastAsia="en-NZ"/>
        </w:rPr>
        <w:t>r</w:t>
      </w:r>
      <w:r w:rsidRPr="00F433C3">
        <w:rPr>
          <w:lang w:eastAsia="en-NZ"/>
        </w:rPr>
        <w:t>egulations will set minimum requirements for these inquiries</w:t>
      </w:r>
    </w:p>
    <w:p w14:paraId="3C7EF96E" w14:textId="77777777" w:rsidR="00240C48" w:rsidRPr="00F433C3" w:rsidRDefault="00240C48" w:rsidP="00240C48">
      <w:pPr>
        <w:pStyle w:val="ListParagraph"/>
        <w:numPr>
          <w:ilvl w:val="0"/>
          <w:numId w:val="2"/>
        </w:numPr>
        <w:spacing w:after="160"/>
        <w:ind w:left="720"/>
        <w:rPr>
          <w:lang w:eastAsia="en-NZ"/>
        </w:rPr>
      </w:pPr>
      <w:r>
        <w:rPr>
          <w:lang w:eastAsia="en-NZ"/>
        </w:rPr>
        <w:t>l</w:t>
      </w:r>
      <w:r w:rsidRPr="00F433C3">
        <w:rPr>
          <w:lang w:eastAsia="en-NZ"/>
        </w:rPr>
        <w:t xml:space="preserve">enders will need to keep records that substantiate </w:t>
      </w:r>
      <w:proofErr w:type="gramStart"/>
      <w:r w:rsidRPr="00F433C3">
        <w:rPr>
          <w:lang w:eastAsia="en-NZ"/>
        </w:rPr>
        <w:t>that loans</w:t>
      </w:r>
      <w:proofErr w:type="gramEnd"/>
      <w:r w:rsidRPr="00F433C3">
        <w:rPr>
          <w:lang w:eastAsia="en-NZ"/>
        </w:rPr>
        <w:t xml:space="preserve"> are affordable and suitable for borrowers and fees are not unreasonable</w:t>
      </w:r>
    </w:p>
    <w:p w14:paraId="6E33C601" w14:textId="77777777" w:rsidR="00240C48" w:rsidRDefault="00240C48" w:rsidP="00240C48">
      <w:pPr>
        <w:pStyle w:val="ListParagraph"/>
        <w:numPr>
          <w:ilvl w:val="0"/>
          <w:numId w:val="2"/>
        </w:numPr>
        <w:spacing w:after="160"/>
        <w:ind w:left="720"/>
        <w:rPr>
          <w:lang w:eastAsia="en-NZ"/>
        </w:rPr>
      </w:pPr>
      <w:r>
        <w:rPr>
          <w:lang w:eastAsia="en-NZ"/>
        </w:rPr>
        <w:t>l</w:t>
      </w:r>
      <w:r w:rsidRPr="00F433C3">
        <w:rPr>
          <w:lang w:eastAsia="en-NZ"/>
        </w:rPr>
        <w:t xml:space="preserve">enders will be prohibited from </w:t>
      </w:r>
      <w:proofErr w:type="gramStart"/>
      <w:r w:rsidRPr="00F433C3">
        <w:rPr>
          <w:lang w:eastAsia="en-NZ"/>
        </w:rPr>
        <w:t>entering into</w:t>
      </w:r>
      <w:proofErr w:type="gramEnd"/>
      <w:r w:rsidRPr="00F433C3">
        <w:rPr>
          <w:lang w:eastAsia="en-NZ"/>
        </w:rPr>
        <w:t xml:space="preserve"> a high-cost consumer credit contract with an applicant who has entered into two high-cost loans in the past 90 days.</w:t>
      </w:r>
    </w:p>
    <w:p w14:paraId="533FF46C" w14:textId="77777777" w:rsidR="00240C48" w:rsidRPr="00F433C3" w:rsidRDefault="00240C48" w:rsidP="00240C48">
      <w:pPr>
        <w:spacing w:after="160"/>
        <w:rPr>
          <w:lang w:eastAsia="en-NZ"/>
        </w:rPr>
      </w:pPr>
    </w:p>
    <w:p w14:paraId="5790A7FA" w14:textId="77777777" w:rsidR="00240C48" w:rsidRPr="00F433C3" w:rsidRDefault="00240C48" w:rsidP="00240C48">
      <w:pPr>
        <w:pStyle w:val="ListParagraph"/>
        <w:numPr>
          <w:ilvl w:val="0"/>
          <w:numId w:val="7"/>
        </w:numPr>
        <w:spacing w:after="160"/>
        <w:ind w:left="360"/>
        <w:rPr>
          <w:lang w:eastAsia="en-NZ"/>
        </w:rPr>
      </w:pPr>
      <w:r w:rsidRPr="00F433C3">
        <w:rPr>
          <w:lang w:eastAsia="en-NZ"/>
        </w:rPr>
        <w:t>Increased enforcement and tougher penalties for breaking the law</w:t>
      </w:r>
      <w:r>
        <w:rPr>
          <w:lang w:eastAsia="en-NZ"/>
        </w:rPr>
        <w:t>:</w:t>
      </w:r>
    </w:p>
    <w:p w14:paraId="63890C5E" w14:textId="77777777" w:rsidR="00240C48" w:rsidRPr="00F433C3" w:rsidRDefault="00240C48" w:rsidP="00240C48">
      <w:pPr>
        <w:pStyle w:val="ListParagraph"/>
        <w:numPr>
          <w:ilvl w:val="0"/>
          <w:numId w:val="3"/>
        </w:numPr>
        <w:spacing w:after="160"/>
        <w:ind w:left="720"/>
        <w:rPr>
          <w:lang w:eastAsia="en-NZ"/>
        </w:rPr>
      </w:pPr>
      <w:r>
        <w:rPr>
          <w:lang w:eastAsia="en-NZ"/>
        </w:rPr>
        <w:t>t</w:t>
      </w:r>
      <w:r w:rsidRPr="00F433C3">
        <w:rPr>
          <w:lang w:eastAsia="en-NZ"/>
        </w:rPr>
        <w:t>ougher penalties will be imposed for irresponsible lending, including financial penalties of up to $600,000</w:t>
      </w:r>
    </w:p>
    <w:p w14:paraId="1BAC573B" w14:textId="77777777" w:rsidR="00240C48" w:rsidRPr="00F433C3" w:rsidRDefault="00240C48" w:rsidP="00240C48">
      <w:pPr>
        <w:pStyle w:val="ListParagraph"/>
        <w:numPr>
          <w:ilvl w:val="0"/>
          <w:numId w:val="3"/>
        </w:numPr>
        <w:spacing w:after="160"/>
        <w:ind w:left="720"/>
        <w:rPr>
          <w:lang w:eastAsia="en-NZ"/>
        </w:rPr>
      </w:pPr>
      <w:r>
        <w:rPr>
          <w:lang w:eastAsia="en-NZ"/>
        </w:rPr>
        <w:t>b</w:t>
      </w:r>
      <w:r w:rsidRPr="00F433C3">
        <w:rPr>
          <w:lang w:eastAsia="en-NZ"/>
        </w:rPr>
        <w:t>orrowers who have been given unaffordable or unsuitable loans will be able to claim statutory damages at disputes resolution schemes which may include a refund of all interest and fees and compensation for any harm</w:t>
      </w:r>
    </w:p>
    <w:p w14:paraId="3D9B272F" w14:textId="77777777" w:rsidR="00240C48" w:rsidRPr="00F433C3" w:rsidRDefault="00240C48" w:rsidP="00240C48">
      <w:pPr>
        <w:pStyle w:val="ListParagraph"/>
        <w:numPr>
          <w:ilvl w:val="0"/>
          <w:numId w:val="3"/>
        </w:numPr>
        <w:spacing w:after="160"/>
        <w:ind w:left="720"/>
        <w:rPr>
          <w:lang w:eastAsia="en-NZ"/>
        </w:rPr>
      </w:pPr>
      <w:r>
        <w:rPr>
          <w:lang w:eastAsia="en-NZ"/>
        </w:rPr>
        <w:t>d</w:t>
      </w:r>
      <w:r w:rsidRPr="00F433C3">
        <w:rPr>
          <w:lang w:eastAsia="en-NZ"/>
        </w:rPr>
        <w:t>irectors and senior managers of consumer credit lenders and mobile traders will be required to meet a ‘fit and proper person’ test before the creditor can be registered on the Financial Service Providers Register</w:t>
      </w:r>
    </w:p>
    <w:p w14:paraId="043B0B1F" w14:textId="77777777" w:rsidR="00240C48" w:rsidRPr="00F433C3" w:rsidRDefault="00240C48" w:rsidP="00240C48">
      <w:pPr>
        <w:pStyle w:val="ListParagraph"/>
        <w:numPr>
          <w:ilvl w:val="0"/>
          <w:numId w:val="3"/>
        </w:numPr>
        <w:spacing w:after="160"/>
        <w:ind w:left="720"/>
        <w:rPr>
          <w:lang w:eastAsia="en-NZ"/>
        </w:rPr>
      </w:pPr>
      <w:r>
        <w:rPr>
          <w:lang w:eastAsia="en-NZ"/>
        </w:rPr>
        <w:t>d</w:t>
      </w:r>
      <w:r w:rsidRPr="00F433C3">
        <w:rPr>
          <w:lang w:eastAsia="en-NZ"/>
        </w:rPr>
        <w:t>uties will be imposed on directors and senior managers to ensure that lenders comply with their obligations</w:t>
      </w:r>
    </w:p>
    <w:p w14:paraId="68265DF4" w14:textId="77777777" w:rsidR="00240C48" w:rsidRDefault="00240C48" w:rsidP="00240C48">
      <w:pPr>
        <w:pStyle w:val="ListParagraph"/>
        <w:numPr>
          <w:ilvl w:val="0"/>
          <w:numId w:val="3"/>
        </w:numPr>
        <w:spacing w:after="160"/>
        <w:ind w:left="720"/>
        <w:rPr>
          <w:lang w:eastAsia="en-NZ"/>
        </w:rPr>
      </w:pPr>
      <w:r>
        <w:rPr>
          <w:lang w:eastAsia="en-NZ"/>
        </w:rPr>
        <w:t>l</w:t>
      </w:r>
      <w:r w:rsidRPr="00F433C3">
        <w:rPr>
          <w:lang w:eastAsia="en-NZ"/>
        </w:rPr>
        <w:t>enders will be required to provide statistical information about their business to the Commerce Commission on an annual basis.</w:t>
      </w:r>
    </w:p>
    <w:p w14:paraId="22EF549A" w14:textId="77777777" w:rsidR="00240C48" w:rsidRPr="00F433C3" w:rsidRDefault="00240C48" w:rsidP="00240C48">
      <w:pPr>
        <w:spacing w:after="160"/>
        <w:rPr>
          <w:lang w:eastAsia="en-NZ"/>
        </w:rPr>
      </w:pPr>
    </w:p>
    <w:p w14:paraId="528D4E31" w14:textId="77777777" w:rsidR="00240C48" w:rsidRPr="00F433C3" w:rsidRDefault="00240C48" w:rsidP="00240C48">
      <w:pPr>
        <w:pStyle w:val="ListParagraph"/>
        <w:numPr>
          <w:ilvl w:val="0"/>
          <w:numId w:val="7"/>
        </w:numPr>
        <w:spacing w:after="160"/>
        <w:ind w:left="360"/>
        <w:rPr>
          <w:lang w:eastAsia="en-NZ"/>
        </w:rPr>
      </w:pPr>
      <w:r w:rsidRPr="00F433C3">
        <w:rPr>
          <w:lang w:eastAsia="en-NZ"/>
        </w:rPr>
        <w:t>Responsible lending laws for mobile traders</w:t>
      </w:r>
      <w:r>
        <w:rPr>
          <w:lang w:eastAsia="en-NZ"/>
        </w:rPr>
        <w:t>:</w:t>
      </w:r>
    </w:p>
    <w:p w14:paraId="11FD9B20" w14:textId="77777777" w:rsidR="00240C48" w:rsidRPr="00F433C3" w:rsidRDefault="00240C48" w:rsidP="00240C48">
      <w:pPr>
        <w:pStyle w:val="ListParagraph"/>
        <w:numPr>
          <w:ilvl w:val="0"/>
          <w:numId w:val="4"/>
        </w:numPr>
        <w:spacing w:after="160"/>
        <w:ind w:left="720"/>
        <w:rPr>
          <w:lang w:eastAsia="en-NZ"/>
        </w:rPr>
      </w:pPr>
      <w:r>
        <w:rPr>
          <w:lang w:eastAsia="en-NZ"/>
        </w:rPr>
        <w:t>c</w:t>
      </w:r>
      <w:r w:rsidRPr="00F433C3">
        <w:rPr>
          <w:lang w:eastAsia="en-NZ"/>
        </w:rPr>
        <w:t xml:space="preserve">ontracts </w:t>
      </w:r>
      <w:proofErr w:type="gramStart"/>
      <w:r w:rsidRPr="00F433C3">
        <w:rPr>
          <w:lang w:eastAsia="en-NZ"/>
        </w:rPr>
        <w:t>entered into</w:t>
      </w:r>
      <w:proofErr w:type="gramEnd"/>
      <w:r w:rsidRPr="00F433C3">
        <w:rPr>
          <w:lang w:eastAsia="en-NZ"/>
        </w:rPr>
        <w:t xml:space="preserve"> by mobile traders will be treated as consumer credit contracts, whether or not they charge interest. This means that mobile traders will be required to comply with </w:t>
      </w:r>
      <w:proofErr w:type="gramStart"/>
      <w:r w:rsidRPr="00F433C3">
        <w:rPr>
          <w:lang w:eastAsia="en-NZ"/>
        </w:rPr>
        <w:t>all of</w:t>
      </w:r>
      <w:proofErr w:type="gramEnd"/>
      <w:r w:rsidRPr="00F433C3">
        <w:rPr>
          <w:lang w:eastAsia="en-NZ"/>
        </w:rPr>
        <w:t xml:space="preserve"> the obligations of the Act including responsible lending requirements</w:t>
      </w:r>
    </w:p>
    <w:p w14:paraId="4934CEA0" w14:textId="77777777" w:rsidR="00240C48" w:rsidRDefault="00240C48" w:rsidP="00240C48">
      <w:pPr>
        <w:pStyle w:val="ListParagraph"/>
        <w:numPr>
          <w:ilvl w:val="0"/>
          <w:numId w:val="4"/>
        </w:numPr>
        <w:spacing w:after="160"/>
        <w:ind w:left="720"/>
        <w:rPr>
          <w:lang w:eastAsia="en-NZ"/>
        </w:rPr>
      </w:pPr>
      <w:r>
        <w:rPr>
          <w:lang w:eastAsia="en-NZ"/>
        </w:rPr>
        <w:t>m</w:t>
      </w:r>
      <w:r w:rsidRPr="00F433C3">
        <w:rPr>
          <w:lang w:eastAsia="en-NZ"/>
        </w:rPr>
        <w:t>obile traders will be required to pass a fit and proper person test and to register on the Financial Service Providers Register.</w:t>
      </w:r>
    </w:p>
    <w:p w14:paraId="09E7AC37" w14:textId="77777777" w:rsidR="00240C48" w:rsidRDefault="00240C48" w:rsidP="00240C48">
      <w:pPr>
        <w:spacing w:after="160"/>
        <w:rPr>
          <w:lang w:eastAsia="en-NZ"/>
        </w:rPr>
      </w:pPr>
    </w:p>
    <w:p w14:paraId="17C67686" w14:textId="77777777" w:rsidR="00240C48" w:rsidRDefault="00240C48" w:rsidP="00240C48">
      <w:pPr>
        <w:spacing w:after="160"/>
        <w:rPr>
          <w:lang w:eastAsia="en-NZ"/>
        </w:rPr>
      </w:pPr>
    </w:p>
    <w:p w14:paraId="33BDC387" w14:textId="77777777" w:rsidR="00240C48" w:rsidRDefault="00240C48" w:rsidP="00240C48">
      <w:pPr>
        <w:spacing w:after="160"/>
        <w:rPr>
          <w:lang w:eastAsia="en-NZ"/>
        </w:rPr>
      </w:pPr>
    </w:p>
    <w:p w14:paraId="1202EB83" w14:textId="77777777" w:rsidR="00240C48" w:rsidRPr="00F433C3" w:rsidRDefault="00240C48" w:rsidP="00240C48">
      <w:pPr>
        <w:spacing w:after="160"/>
        <w:rPr>
          <w:lang w:eastAsia="en-NZ"/>
        </w:rPr>
      </w:pPr>
    </w:p>
    <w:p w14:paraId="1511AF6C" w14:textId="77777777" w:rsidR="00240C48" w:rsidRPr="00F433C3" w:rsidRDefault="00240C48" w:rsidP="00240C48">
      <w:pPr>
        <w:pStyle w:val="ListParagraph"/>
        <w:numPr>
          <w:ilvl w:val="0"/>
          <w:numId w:val="7"/>
        </w:numPr>
        <w:spacing w:after="160"/>
        <w:ind w:left="360"/>
        <w:rPr>
          <w:lang w:eastAsia="en-NZ"/>
        </w:rPr>
      </w:pPr>
      <w:r w:rsidRPr="00F433C3">
        <w:rPr>
          <w:lang w:eastAsia="en-NZ"/>
        </w:rPr>
        <w:t>Responsible advertising standards</w:t>
      </w:r>
      <w:r>
        <w:rPr>
          <w:lang w:eastAsia="en-NZ"/>
        </w:rPr>
        <w:t>:</w:t>
      </w:r>
    </w:p>
    <w:p w14:paraId="628389DD" w14:textId="77777777" w:rsidR="00240C48" w:rsidRPr="00F433C3" w:rsidRDefault="00240C48" w:rsidP="00240C48">
      <w:pPr>
        <w:pStyle w:val="ListParagraph"/>
        <w:numPr>
          <w:ilvl w:val="0"/>
          <w:numId w:val="5"/>
        </w:numPr>
        <w:spacing w:after="160"/>
        <w:ind w:left="720"/>
        <w:rPr>
          <w:lang w:eastAsia="en-NZ"/>
        </w:rPr>
      </w:pPr>
      <w:r>
        <w:rPr>
          <w:lang w:eastAsia="en-NZ"/>
        </w:rPr>
        <w:t>l</w:t>
      </w:r>
      <w:r w:rsidRPr="00F433C3">
        <w:rPr>
          <w:lang w:eastAsia="en-NZ"/>
        </w:rPr>
        <w:t xml:space="preserve">enders are currently required to exercise the care, </w:t>
      </w:r>
      <w:proofErr w:type="gramStart"/>
      <w:r w:rsidRPr="00F433C3">
        <w:rPr>
          <w:lang w:eastAsia="en-NZ"/>
        </w:rPr>
        <w:t>diligence</w:t>
      </w:r>
      <w:proofErr w:type="gramEnd"/>
      <w:r w:rsidRPr="00F433C3">
        <w:rPr>
          <w:lang w:eastAsia="en-NZ"/>
        </w:rPr>
        <w:t xml:space="preserve"> and skill of a responsible lender in any advertisement and must ensure that any advertising used is not misleading, deceptive or confusing</w:t>
      </w:r>
    </w:p>
    <w:p w14:paraId="6B4CD600" w14:textId="77777777" w:rsidR="00240C48" w:rsidRPr="00F433C3" w:rsidRDefault="00240C48" w:rsidP="00240C48">
      <w:pPr>
        <w:pStyle w:val="ListParagraph"/>
        <w:numPr>
          <w:ilvl w:val="0"/>
          <w:numId w:val="5"/>
        </w:numPr>
        <w:spacing w:after="160"/>
        <w:ind w:left="720"/>
        <w:rPr>
          <w:lang w:eastAsia="en-NZ"/>
        </w:rPr>
      </w:pPr>
      <w:r>
        <w:rPr>
          <w:lang w:eastAsia="en-NZ"/>
        </w:rPr>
        <w:t>r</w:t>
      </w:r>
      <w:r w:rsidRPr="00F433C3">
        <w:rPr>
          <w:lang w:eastAsia="en-NZ"/>
        </w:rPr>
        <w:t>egulations will set minimum advertising standards for credit</w:t>
      </w:r>
    </w:p>
    <w:p w14:paraId="7DBA9B5B" w14:textId="77777777" w:rsidR="00240C48" w:rsidRDefault="00240C48" w:rsidP="00240C48">
      <w:pPr>
        <w:pStyle w:val="ListParagraph"/>
        <w:numPr>
          <w:ilvl w:val="0"/>
          <w:numId w:val="5"/>
        </w:numPr>
        <w:spacing w:after="160"/>
        <w:ind w:left="720"/>
        <w:rPr>
          <w:lang w:eastAsia="en-NZ"/>
        </w:rPr>
      </w:pPr>
      <w:r>
        <w:rPr>
          <w:lang w:eastAsia="en-NZ"/>
        </w:rPr>
        <w:t>i</w:t>
      </w:r>
      <w:r w:rsidRPr="00F433C3">
        <w:rPr>
          <w:lang w:eastAsia="en-NZ"/>
        </w:rPr>
        <w:t>f a lender advertises credit in a language, they will also have to offer to provide the borrower with information about the loan in that language.</w:t>
      </w:r>
    </w:p>
    <w:p w14:paraId="7AE6FED8" w14:textId="77777777" w:rsidR="00240C48" w:rsidRPr="00F433C3" w:rsidRDefault="00240C48" w:rsidP="00240C48">
      <w:pPr>
        <w:spacing w:after="160"/>
        <w:rPr>
          <w:lang w:eastAsia="en-NZ"/>
        </w:rPr>
      </w:pPr>
    </w:p>
    <w:p w14:paraId="0ACBB05D" w14:textId="77777777" w:rsidR="00240C48" w:rsidRPr="00F433C3" w:rsidRDefault="00240C48" w:rsidP="00240C48">
      <w:pPr>
        <w:pStyle w:val="ListParagraph"/>
        <w:numPr>
          <w:ilvl w:val="0"/>
          <w:numId w:val="7"/>
        </w:numPr>
        <w:spacing w:after="160"/>
        <w:ind w:left="360"/>
        <w:rPr>
          <w:lang w:eastAsia="en-NZ"/>
        </w:rPr>
      </w:pPr>
      <w:r w:rsidRPr="00F433C3">
        <w:rPr>
          <w:lang w:eastAsia="en-NZ"/>
        </w:rPr>
        <w:t>Greater transparency and access to redress during debt collection</w:t>
      </w:r>
      <w:r>
        <w:rPr>
          <w:lang w:eastAsia="en-NZ"/>
        </w:rPr>
        <w:t>:</w:t>
      </w:r>
    </w:p>
    <w:p w14:paraId="6005525B" w14:textId="2F89993F" w:rsidR="00701DD1" w:rsidRPr="00240C48" w:rsidRDefault="00240C48" w:rsidP="00240C48">
      <w:pPr>
        <w:pStyle w:val="ListParagraph"/>
        <w:numPr>
          <w:ilvl w:val="0"/>
          <w:numId w:val="6"/>
        </w:numPr>
        <w:spacing w:after="160"/>
        <w:ind w:left="720"/>
        <w:rPr>
          <w:lang w:eastAsia="en-NZ"/>
        </w:rPr>
      </w:pPr>
      <w:r>
        <w:rPr>
          <w:lang w:eastAsia="en-NZ"/>
        </w:rPr>
        <w:t>d</w:t>
      </w:r>
      <w:r w:rsidRPr="00F433C3">
        <w:rPr>
          <w:lang w:eastAsia="en-NZ"/>
        </w:rPr>
        <w:t xml:space="preserve">ebt collectors will be required to disclose to </w:t>
      </w:r>
      <w:proofErr w:type="gramStart"/>
      <w:r w:rsidRPr="00F433C3">
        <w:rPr>
          <w:lang w:eastAsia="en-NZ"/>
        </w:rPr>
        <w:t>debtors</w:t>
      </w:r>
      <w:proofErr w:type="gramEnd"/>
      <w:r w:rsidRPr="00F433C3">
        <w:rPr>
          <w:lang w:eastAsia="en-NZ"/>
        </w:rPr>
        <w:t xml:space="preserve"> specific information at the commencement of debt collection action. This information will be specified in regulations and is likely to include the unpaid balance prior to debt collection action, any debt collection fees to be added and where to get help.</w:t>
      </w:r>
      <w:bookmarkEnd w:id="1"/>
    </w:p>
    <w:sectPr w:rsidR="00701DD1" w:rsidRPr="00240C4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5E7B" w14:textId="77777777" w:rsidR="00240C48" w:rsidRDefault="00240C48" w:rsidP="00240C48">
      <w:r>
        <w:separator/>
      </w:r>
    </w:p>
  </w:endnote>
  <w:endnote w:type="continuationSeparator" w:id="0">
    <w:p w14:paraId="657F09F7" w14:textId="77777777" w:rsidR="00240C48" w:rsidRDefault="00240C48" w:rsidP="0024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E211" w14:textId="63A9ABB3" w:rsidR="00240C48" w:rsidRPr="00950BAE" w:rsidRDefault="00240C48" w:rsidP="00240C48">
    <w:pPr>
      <w:jc w:val="right"/>
      <w:rPr>
        <w:lang w:eastAsia="en-NZ"/>
      </w:rPr>
    </w:pPr>
    <w:r>
      <w:rPr>
        <w:lang w:val="en-US"/>
      </w:rPr>
      <w:t xml:space="preserve">Module 7 - </w:t>
    </w:r>
    <w:r>
      <w:rPr>
        <w:lang w:eastAsia="en-NZ"/>
      </w:rPr>
      <w:t>Key changes to the CCCFA</w:t>
    </w:r>
    <w:r>
      <w:rPr>
        <w:lang w:eastAsia="en-NZ"/>
      </w:rPr>
      <w:t xml:space="preserve"> </w:t>
    </w:r>
    <w:r>
      <w:rPr>
        <w:noProof/>
      </w:rPr>
      <w:drawing>
        <wp:inline distT="0" distB="0" distL="0" distR="0" wp14:anchorId="7F2CECFB" wp14:editId="798C5C28">
          <wp:extent cx="1038225" cy="566925"/>
          <wp:effectExtent l="0" t="0" r="0" b="5080"/>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0161" cy="573443"/>
                  </a:xfrm>
                  <a:prstGeom prst="rect">
                    <a:avLst/>
                  </a:prstGeom>
                </pic:spPr>
              </pic:pic>
            </a:graphicData>
          </a:graphic>
        </wp:inline>
      </w:drawing>
    </w:r>
  </w:p>
  <w:p w14:paraId="61F4A164" w14:textId="77777777" w:rsidR="00240C48" w:rsidRDefault="00240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D8453" w14:textId="77777777" w:rsidR="00240C48" w:rsidRDefault="00240C48" w:rsidP="00240C48">
      <w:r>
        <w:separator/>
      </w:r>
    </w:p>
  </w:footnote>
  <w:footnote w:type="continuationSeparator" w:id="0">
    <w:p w14:paraId="5A05B037" w14:textId="77777777" w:rsidR="00240C48" w:rsidRDefault="00240C48" w:rsidP="00240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DDD"/>
    <w:multiLevelType w:val="hybridMultilevel"/>
    <w:tmpl w:val="13807D4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FB84B54"/>
    <w:multiLevelType w:val="hybridMultilevel"/>
    <w:tmpl w:val="A93CD31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12C707D1"/>
    <w:multiLevelType w:val="hybridMultilevel"/>
    <w:tmpl w:val="FB64F7A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2524148F"/>
    <w:multiLevelType w:val="hybridMultilevel"/>
    <w:tmpl w:val="ECFAEC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63521AA8"/>
    <w:multiLevelType w:val="hybridMultilevel"/>
    <w:tmpl w:val="AC3E49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6DDE1F37"/>
    <w:multiLevelType w:val="hybridMultilevel"/>
    <w:tmpl w:val="A39295A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7A5C6CCF"/>
    <w:multiLevelType w:val="hybridMultilevel"/>
    <w:tmpl w:val="D4CAF94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48"/>
    <w:rsid w:val="00096D4C"/>
    <w:rsid w:val="002126D2"/>
    <w:rsid w:val="00240C48"/>
    <w:rsid w:val="003C4915"/>
    <w:rsid w:val="00701DD1"/>
    <w:rsid w:val="008A6C97"/>
    <w:rsid w:val="00E37CDA"/>
    <w:rsid w:val="00E92213"/>
    <w:rsid w:val="00F606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1DEF"/>
  <w15:chartTrackingRefBased/>
  <w15:docId w15:val="{9BAC9D5D-F492-4185-BF26-1CBE281D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C48"/>
    <w:pPr>
      <w:spacing w:after="0" w:line="240" w:lineRule="auto"/>
      <w:contextualSpacing/>
    </w:pPr>
  </w:style>
  <w:style w:type="paragraph" w:styleId="Heading1">
    <w:name w:val="heading 1"/>
    <w:basedOn w:val="Normal"/>
    <w:next w:val="Normal"/>
    <w:link w:val="Heading1Char"/>
    <w:uiPriority w:val="9"/>
    <w:qFormat/>
    <w:rsid w:val="002126D2"/>
    <w:pPr>
      <w:keepNext/>
      <w:keepLines/>
      <w:outlineLvl w:val="0"/>
    </w:pPr>
    <w:rPr>
      <w:rFonts w:eastAsiaTheme="majorEastAsia" w:cstheme="majorBidi"/>
      <w:b/>
      <w:color w:val="000000" w:themeColor="text1"/>
      <w:sz w:val="48"/>
      <w:szCs w:val="32"/>
    </w:rPr>
  </w:style>
  <w:style w:type="paragraph" w:styleId="Heading2">
    <w:name w:val="heading 2"/>
    <w:basedOn w:val="Normal"/>
    <w:next w:val="Normal"/>
    <w:link w:val="Heading2Char"/>
    <w:uiPriority w:val="9"/>
    <w:unhideWhenUsed/>
    <w:qFormat/>
    <w:rsid w:val="002126D2"/>
    <w:pPr>
      <w:keepNext/>
      <w:keepLines/>
      <w:outlineLvl w:val="1"/>
    </w:pPr>
    <w:rPr>
      <w:rFonts w:eastAsiaTheme="majorEastAsia" w:cstheme="majorBidi"/>
      <w:b/>
      <w:color w:val="000000" w:themeColor="text1"/>
      <w:sz w:val="36"/>
      <w:szCs w:val="26"/>
    </w:rPr>
  </w:style>
  <w:style w:type="paragraph" w:styleId="Heading3">
    <w:name w:val="heading 3"/>
    <w:basedOn w:val="Normal"/>
    <w:next w:val="Normal"/>
    <w:link w:val="Heading3Char"/>
    <w:uiPriority w:val="9"/>
    <w:unhideWhenUsed/>
    <w:qFormat/>
    <w:rsid w:val="002126D2"/>
    <w:pPr>
      <w:keepNext/>
      <w:keepLines/>
      <w:outlineLvl w:val="2"/>
    </w:pPr>
    <w:rPr>
      <w:rFonts w:asciiTheme="majorHAnsi" w:eastAsiaTheme="majorEastAsia" w:hAnsiTheme="majorHAnsi" w:cstheme="majorBidi"/>
      <w:b/>
      <w:color w:val="000000" w:themeColor="text1"/>
      <w:sz w:val="28"/>
      <w:szCs w:val="24"/>
    </w:rPr>
  </w:style>
  <w:style w:type="paragraph" w:styleId="Heading4">
    <w:name w:val="heading 4"/>
    <w:basedOn w:val="Normal"/>
    <w:next w:val="Normal"/>
    <w:link w:val="Heading4Char"/>
    <w:uiPriority w:val="9"/>
    <w:unhideWhenUsed/>
    <w:qFormat/>
    <w:rsid w:val="002126D2"/>
    <w:pPr>
      <w:keepNext/>
      <w:keepLines/>
      <w:spacing w:before="4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rsid w:val="008A6C97"/>
    <w:pPr>
      <w:keepNext/>
      <w:keepLines/>
      <w:spacing w:before="40"/>
      <w:outlineLvl w:val="4"/>
    </w:pPr>
    <w:rPr>
      <w:rFonts w:eastAsiaTheme="majorEastAsia" w:cstheme="majorBidi"/>
      <w:color w:val="B3124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6D2"/>
    <w:rPr>
      <w:rFonts w:eastAsiaTheme="majorEastAsia" w:cstheme="majorBidi"/>
      <w:b/>
      <w:color w:val="000000" w:themeColor="text1"/>
      <w:sz w:val="48"/>
      <w:szCs w:val="32"/>
    </w:rPr>
  </w:style>
  <w:style w:type="character" w:customStyle="1" w:styleId="Heading2Char">
    <w:name w:val="Heading 2 Char"/>
    <w:basedOn w:val="DefaultParagraphFont"/>
    <w:link w:val="Heading2"/>
    <w:uiPriority w:val="9"/>
    <w:rsid w:val="002126D2"/>
    <w:rPr>
      <w:rFonts w:eastAsiaTheme="majorEastAsia" w:cstheme="majorBidi"/>
      <w:b/>
      <w:color w:val="000000" w:themeColor="text1"/>
      <w:sz w:val="36"/>
      <w:szCs w:val="26"/>
    </w:rPr>
  </w:style>
  <w:style w:type="character" w:customStyle="1" w:styleId="Heading3Char">
    <w:name w:val="Heading 3 Char"/>
    <w:basedOn w:val="DefaultParagraphFont"/>
    <w:link w:val="Heading3"/>
    <w:uiPriority w:val="9"/>
    <w:rsid w:val="002126D2"/>
    <w:rPr>
      <w:rFonts w:asciiTheme="majorHAnsi" w:eastAsiaTheme="majorEastAsia" w:hAnsiTheme="majorHAnsi" w:cstheme="majorBidi"/>
      <w:b/>
      <w:color w:val="000000" w:themeColor="text1"/>
      <w:sz w:val="28"/>
      <w:szCs w:val="24"/>
    </w:rPr>
  </w:style>
  <w:style w:type="character" w:customStyle="1" w:styleId="Heading4Char">
    <w:name w:val="Heading 4 Char"/>
    <w:basedOn w:val="DefaultParagraphFont"/>
    <w:link w:val="Heading4"/>
    <w:uiPriority w:val="9"/>
    <w:rsid w:val="002126D2"/>
    <w:rPr>
      <w:rFonts w:eastAsiaTheme="majorEastAsia" w:cstheme="majorBidi"/>
      <w:b/>
      <w:iCs/>
      <w:color w:val="000000" w:themeColor="text1"/>
    </w:rPr>
  </w:style>
  <w:style w:type="character" w:customStyle="1" w:styleId="Heading5Char">
    <w:name w:val="Heading 5 Char"/>
    <w:basedOn w:val="DefaultParagraphFont"/>
    <w:link w:val="Heading5"/>
    <w:uiPriority w:val="9"/>
    <w:rsid w:val="008A6C97"/>
    <w:rPr>
      <w:rFonts w:eastAsiaTheme="majorEastAsia" w:cstheme="majorBidi"/>
      <w:color w:val="B31244" w:themeColor="accent1" w:themeShade="BF"/>
    </w:rPr>
  </w:style>
  <w:style w:type="paragraph" w:styleId="Title">
    <w:name w:val="Title"/>
    <w:aliases w:val="Cover page"/>
    <w:basedOn w:val="Normal"/>
    <w:next w:val="Normal"/>
    <w:link w:val="TitleChar"/>
    <w:uiPriority w:val="10"/>
    <w:qFormat/>
    <w:rsid w:val="002126D2"/>
    <w:pPr>
      <w:jc w:val="center"/>
    </w:pPr>
    <w:rPr>
      <w:rFonts w:eastAsiaTheme="majorEastAsia" w:cstheme="majorBidi"/>
      <w:b/>
      <w:spacing w:val="-10"/>
      <w:kern w:val="28"/>
      <w:sz w:val="110"/>
      <w:szCs w:val="56"/>
    </w:rPr>
  </w:style>
  <w:style w:type="character" w:customStyle="1" w:styleId="TitleChar">
    <w:name w:val="Title Char"/>
    <w:aliases w:val="Cover page Char"/>
    <w:basedOn w:val="DefaultParagraphFont"/>
    <w:link w:val="Title"/>
    <w:uiPriority w:val="10"/>
    <w:rsid w:val="002126D2"/>
    <w:rPr>
      <w:rFonts w:eastAsiaTheme="majorEastAsia" w:cstheme="majorBidi"/>
      <w:b/>
      <w:spacing w:val="-10"/>
      <w:kern w:val="28"/>
      <w:sz w:val="110"/>
      <w:szCs w:val="56"/>
    </w:rPr>
  </w:style>
  <w:style w:type="paragraph" w:styleId="NoSpacing">
    <w:name w:val="No Spacing"/>
    <w:uiPriority w:val="1"/>
    <w:rsid w:val="008A6C97"/>
    <w:pPr>
      <w:spacing w:after="0" w:line="240" w:lineRule="auto"/>
    </w:pPr>
  </w:style>
  <w:style w:type="paragraph" w:styleId="ListParagraph">
    <w:name w:val="List Paragraph"/>
    <w:basedOn w:val="Normal"/>
    <w:link w:val="ListParagraphChar"/>
    <w:uiPriority w:val="34"/>
    <w:rsid w:val="00096D4C"/>
    <w:pPr>
      <w:ind w:left="720"/>
    </w:pPr>
  </w:style>
  <w:style w:type="paragraph" w:styleId="Quote">
    <w:name w:val="Quote"/>
    <w:basedOn w:val="Normal"/>
    <w:next w:val="Normal"/>
    <w:link w:val="QuoteChar"/>
    <w:uiPriority w:val="29"/>
    <w:qFormat/>
    <w:rsid w:val="00096D4C"/>
    <w:pPr>
      <w:spacing w:before="200"/>
      <w:ind w:left="864" w:right="864"/>
    </w:pPr>
    <w:rPr>
      <w:rFonts w:ascii="Georgia" w:hAnsi="Georgia"/>
      <w:i/>
      <w:iCs/>
      <w:color w:val="404040" w:themeColor="text1" w:themeTint="BF"/>
      <w:sz w:val="28"/>
    </w:rPr>
  </w:style>
  <w:style w:type="character" w:customStyle="1" w:styleId="QuoteChar">
    <w:name w:val="Quote Char"/>
    <w:basedOn w:val="DefaultParagraphFont"/>
    <w:link w:val="Quote"/>
    <w:uiPriority w:val="29"/>
    <w:rsid w:val="00096D4C"/>
    <w:rPr>
      <w:rFonts w:ascii="Georgia" w:hAnsi="Georgia"/>
      <w:i/>
      <w:iCs/>
      <w:color w:val="404040" w:themeColor="text1" w:themeTint="BF"/>
      <w:sz w:val="28"/>
    </w:rPr>
  </w:style>
  <w:style w:type="character" w:customStyle="1" w:styleId="ListParagraphChar">
    <w:name w:val="List Paragraph Char"/>
    <w:basedOn w:val="DefaultParagraphFont"/>
    <w:link w:val="ListParagraph"/>
    <w:uiPriority w:val="34"/>
    <w:rsid w:val="00240C48"/>
  </w:style>
  <w:style w:type="paragraph" w:styleId="Header">
    <w:name w:val="header"/>
    <w:basedOn w:val="Normal"/>
    <w:link w:val="HeaderChar"/>
    <w:uiPriority w:val="99"/>
    <w:unhideWhenUsed/>
    <w:rsid w:val="00240C48"/>
    <w:pPr>
      <w:tabs>
        <w:tab w:val="center" w:pos="4513"/>
        <w:tab w:val="right" w:pos="9026"/>
      </w:tabs>
    </w:pPr>
  </w:style>
  <w:style w:type="character" w:customStyle="1" w:styleId="HeaderChar">
    <w:name w:val="Header Char"/>
    <w:basedOn w:val="DefaultParagraphFont"/>
    <w:link w:val="Header"/>
    <w:uiPriority w:val="99"/>
    <w:rsid w:val="00240C48"/>
  </w:style>
  <w:style w:type="paragraph" w:styleId="Footer">
    <w:name w:val="footer"/>
    <w:basedOn w:val="Normal"/>
    <w:link w:val="FooterChar"/>
    <w:uiPriority w:val="99"/>
    <w:unhideWhenUsed/>
    <w:rsid w:val="00240C48"/>
    <w:pPr>
      <w:tabs>
        <w:tab w:val="center" w:pos="4513"/>
        <w:tab w:val="right" w:pos="9026"/>
      </w:tabs>
    </w:pPr>
  </w:style>
  <w:style w:type="character" w:customStyle="1" w:styleId="FooterChar">
    <w:name w:val="Footer Char"/>
    <w:basedOn w:val="DefaultParagraphFont"/>
    <w:link w:val="Footer"/>
    <w:uiPriority w:val="99"/>
    <w:rsid w:val="00240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inCap theme">
  <a:themeElements>
    <a:clrScheme name="FinCap Style">
      <a:dk1>
        <a:sysClr val="windowText" lastClr="000000"/>
      </a:dk1>
      <a:lt1>
        <a:sysClr val="window" lastClr="FFFFFF"/>
      </a:lt1>
      <a:dk2>
        <a:srgbClr val="484848"/>
      </a:dk2>
      <a:lt2>
        <a:srgbClr val="E7E6E6"/>
      </a:lt2>
      <a:accent1>
        <a:srgbClr val="E8215F"/>
      </a:accent1>
      <a:accent2>
        <a:srgbClr val="AA216B"/>
      </a:accent2>
      <a:accent3>
        <a:srgbClr val="EF6A45"/>
      </a:accent3>
      <a:accent4>
        <a:srgbClr val="27AAE1"/>
      </a:accent4>
      <a:accent5>
        <a:srgbClr val="B8BD3B"/>
      </a:accent5>
      <a:accent6>
        <a:srgbClr val="78BDBC"/>
      </a:accent6>
      <a:hlink>
        <a:srgbClr val="13698B"/>
      </a:hlink>
      <a:folHlink>
        <a:srgbClr val="AA216B"/>
      </a:folHlink>
    </a:clrScheme>
    <a:fontScheme name="FinCap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Linley Leong</dc:creator>
  <cp:keywords/>
  <dc:description/>
  <cp:lastModifiedBy>Linley Leong</cp:lastModifiedBy>
  <cp:revision>1</cp:revision>
  <dcterms:created xsi:type="dcterms:W3CDTF">2021-10-04T21:59:00Z</dcterms:created>
  <dcterms:modified xsi:type="dcterms:W3CDTF">2021-10-04T22:03:00Z</dcterms:modified>
</cp:coreProperties>
</file>