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4F17" w14:textId="05E1AC80" w:rsidR="00695886" w:rsidRDefault="00695886" w:rsidP="00695886">
      <w:pPr>
        <w:pStyle w:val="Heading2"/>
        <w:rPr>
          <w:lang w:val="en-GB"/>
        </w:rPr>
      </w:pPr>
      <w:bookmarkStart w:id="0" w:name="_GoBack"/>
      <w:bookmarkStart w:id="1" w:name="_Toc77072201"/>
      <w:bookmarkStart w:id="2" w:name="_Toc82080969"/>
      <w:bookmarkEnd w:id="0"/>
      <w:r>
        <w:rPr>
          <w:lang w:val="en-GB"/>
        </w:rPr>
        <w:t>Module 7</w:t>
      </w:r>
      <w:r>
        <w:rPr>
          <w:lang w:val="en-GB"/>
        </w:rPr>
        <w:t xml:space="preserve"> - Common credit terminology</w:t>
      </w:r>
      <w:bookmarkEnd w:id="1"/>
      <w:bookmarkEnd w:id="2"/>
      <w:r>
        <w:rPr>
          <w:lang w:val="en-GB"/>
        </w:rPr>
        <w:t xml:space="preserve"> </w:t>
      </w:r>
    </w:p>
    <w:p w14:paraId="6B9EEDBC" w14:textId="77777777" w:rsidR="00695886" w:rsidRPr="00D24B32" w:rsidRDefault="00695886" w:rsidP="00695886">
      <w:pPr>
        <w:rPr>
          <w:lang w:val="en-GB"/>
        </w:rPr>
      </w:pPr>
    </w:p>
    <w:p w14:paraId="4B1330F8" w14:textId="77777777" w:rsidR="00695886" w:rsidRDefault="00695886" w:rsidP="00695886">
      <w:pPr>
        <w:rPr>
          <w:lang w:val="en-GB"/>
        </w:rPr>
      </w:pPr>
      <w:r w:rsidRPr="006C3CC1">
        <w:rPr>
          <w:rStyle w:val="Heading4Char"/>
          <w:lang w:val="en-GB"/>
        </w:rPr>
        <w:t>Credit-related insurance</w:t>
      </w:r>
      <w:r w:rsidRPr="008D627D">
        <w:rPr>
          <w:lang w:val="en-GB"/>
        </w:rPr>
        <w:t xml:space="preserve"> </w:t>
      </w:r>
    </w:p>
    <w:p w14:paraId="3A4A74AF" w14:textId="77777777" w:rsidR="00695886" w:rsidRDefault="00695886" w:rsidP="00695886">
      <w:pPr>
        <w:ind w:left="720"/>
        <w:rPr>
          <w:lang w:val="en-GB"/>
        </w:rPr>
      </w:pPr>
    </w:p>
    <w:p w14:paraId="556B2834" w14:textId="77777777" w:rsidR="00695886" w:rsidRDefault="00695886" w:rsidP="00695886">
      <w:pPr>
        <w:rPr>
          <w:lang w:val="en-GB"/>
        </w:rPr>
      </w:pPr>
      <w:r>
        <w:rPr>
          <w:lang w:val="en-GB"/>
        </w:rPr>
        <w:t>C</w:t>
      </w:r>
      <w:r w:rsidRPr="008D627D">
        <w:rPr>
          <w:lang w:val="en-GB"/>
        </w:rPr>
        <w:t xml:space="preserve">redit sale contracts often require consumers to insure the property or goods against theft, </w:t>
      </w:r>
      <w:proofErr w:type="gramStart"/>
      <w:r w:rsidRPr="008D627D">
        <w:rPr>
          <w:lang w:val="en-GB"/>
        </w:rPr>
        <w:t>loss</w:t>
      </w:r>
      <w:proofErr w:type="gramEnd"/>
      <w:r w:rsidRPr="008D627D">
        <w:rPr>
          <w:lang w:val="en-GB"/>
        </w:rPr>
        <w:t xml:space="preserve"> or damage. This is not required by law, but traders often insist on it. If a client has contents insurance that covers the </w:t>
      </w:r>
      <w:proofErr w:type="gramStart"/>
      <w:r w:rsidRPr="008D627D">
        <w:rPr>
          <w:lang w:val="en-GB"/>
        </w:rPr>
        <w:t>goods</w:t>
      </w:r>
      <w:proofErr w:type="gramEnd"/>
      <w:r w:rsidRPr="008D627D">
        <w:rPr>
          <w:lang w:val="en-GB"/>
        </w:rPr>
        <w:t xml:space="preserve"> and the trader still insists on separate insurance this may be considered unreasonable or oppressive. </w:t>
      </w:r>
    </w:p>
    <w:p w14:paraId="0AF22970" w14:textId="77777777" w:rsidR="00695886" w:rsidRPr="008D627D" w:rsidRDefault="00695886" w:rsidP="00695886">
      <w:pPr>
        <w:ind w:left="720"/>
        <w:rPr>
          <w:lang w:val="en-GB"/>
        </w:rPr>
      </w:pPr>
    </w:p>
    <w:p w14:paraId="072C594D" w14:textId="77777777" w:rsidR="00695886" w:rsidRPr="006C3CC1" w:rsidRDefault="00695886" w:rsidP="00695886">
      <w:pPr>
        <w:ind w:left="720"/>
        <w:rPr>
          <w:i/>
          <w:iCs/>
          <w:lang w:val="en-GB"/>
        </w:rPr>
      </w:pPr>
      <w:r w:rsidRPr="006C3CC1">
        <w:rPr>
          <w:i/>
          <w:iCs/>
          <w:lang w:val="en-GB"/>
        </w:rPr>
        <w:t>Credit-related insurance is covered in Section 9 of the Responsible Lending Code</w:t>
      </w:r>
      <w:r w:rsidRPr="006C3CC1">
        <w:rPr>
          <w:i/>
          <w:iCs/>
          <w:lang w:val="en-GB"/>
        </w:rPr>
        <w:tab/>
      </w:r>
    </w:p>
    <w:p w14:paraId="4B6A8782" w14:textId="77777777" w:rsidR="00695886" w:rsidRDefault="00695886" w:rsidP="00695886">
      <w:pPr>
        <w:ind w:left="720"/>
        <w:rPr>
          <w:lang w:val="en-GB"/>
        </w:rPr>
      </w:pPr>
    </w:p>
    <w:p w14:paraId="50DD6A54" w14:textId="77777777" w:rsidR="00695886" w:rsidRPr="008D627D" w:rsidRDefault="00695886" w:rsidP="00695886">
      <w:pPr>
        <w:ind w:left="720"/>
        <w:rPr>
          <w:lang w:val="en-GB"/>
        </w:rPr>
      </w:pPr>
    </w:p>
    <w:p w14:paraId="59450C21" w14:textId="77777777" w:rsidR="00695886" w:rsidRDefault="00695886" w:rsidP="00695886">
      <w:pPr>
        <w:rPr>
          <w:lang w:val="en-GB"/>
        </w:rPr>
      </w:pPr>
      <w:r w:rsidRPr="006C3CC1">
        <w:rPr>
          <w:rStyle w:val="Heading4Char"/>
          <w:lang w:val="en-GB"/>
        </w:rPr>
        <w:t>Consumer Credit Insurance</w:t>
      </w:r>
      <w:r w:rsidRPr="008D627D">
        <w:rPr>
          <w:lang w:val="en-GB"/>
        </w:rPr>
        <w:t xml:space="preserve"> </w:t>
      </w:r>
    </w:p>
    <w:p w14:paraId="48EF323E" w14:textId="77777777" w:rsidR="00695886" w:rsidRDefault="00695886" w:rsidP="00695886">
      <w:pPr>
        <w:ind w:left="720"/>
        <w:rPr>
          <w:lang w:val="en-GB"/>
        </w:rPr>
      </w:pPr>
    </w:p>
    <w:p w14:paraId="1B674FB7" w14:textId="77777777" w:rsidR="00695886" w:rsidRDefault="00695886" w:rsidP="00695886">
      <w:pPr>
        <w:rPr>
          <w:lang w:val="en-GB"/>
        </w:rPr>
      </w:pPr>
      <w:r w:rsidRPr="008D627D">
        <w:rPr>
          <w:lang w:val="en-GB"/>
        </w:rPr>
        <w:t>(</w:t>
      </w:r>
      <w:r>
        <w:rPr>
          <w:lang w:val="en-GB"/>
        </w:rPr>
        <w:t>A</w:t>
      </w:r>
      <w:r w:rsidRPr="008D627D">
        <w:rPr>
          <w:lang w:val="en-GB"/>
        </w:rPr>
        <w:t xml:space="preserve">lso known as Consumer Protection Insurance and by other names) </w:t>
      </w:r>
      <w:r>
        <w:rPr>
          <w:lang w:val="en-GB"/>
        </w:rPr>
        <w:t xml:space="preserve">is </w:t>
      </w:r>
      <w:r w:rsidRPr="008D627D">
        <w:rPr>
          <w:lang w:val="en-GB"/>
        </w:rPr>
        <w:t xml:space="preserve">insurance that is provided (usually compulsorily) to the client to ensure the loan is repaid if the client dies, falls </w:t>
      </w:r>
      <w:proofErr w:type="gramStart"/>
      <w:r w:rsidRPr="008D627D">
        <w:rPr>
          <w:lang w:val="en-GB"/>
        </w:rPr>
        <w:t>ill</w:t>
      </w:r>
      <w:proofErr w:type="gramEnd"/>
      <w:r w:rsidRPr="008D627D">
        <w:rPr>
          <w:lang w:val="en-GB"/>
        </w:rPr>
        <w:t xml:space="preserve"> or is made redundant. Often the client may not need it and the benefits may be very limited, but the creditor can refuse to sell the goods/provide the credit if the consumer does not take out this insurance.</w:t>
      </w:r>
    </w:p>
    <w:p w14:paraId="6569D521" w14:textId="77777777" w:rsidR="00695886" w:rsidRPr="008D627D" w:rsidRDefault="00695886" w:rsidP="00695886">
      <w:pPr>
        <w:ind w:left="720"/>
        <w:rPr>
          <w:lang w:val="en-GB"/>
        </w:rPr>
      </w:pPr>
    </w:p>
    <w:p w14:paraId="28222EED" w14:textId="77777777" w:rsidR="00695886" w:rsidRPr="006C3CC1" w:rsidRDefault="00695886" w:rsidP="00695886">
      <w:pPr>
        <w:ind w:left="720"/>
        <w:rPr>
          <w:i/>
          <w:iCs/>
          <w:lang w:val="en-GB"/>
        </w:rPr>
      </w:pPr>
      <w:r w:rsidRPr="006C3CC1">
        <w:rPr>
          <w:i/>
          <w:iCs/>
          <w:lang w:val="en-GB"/>
        </w:rPr>
        <w:t>Consumer credit insurance is covered in Section 9 of the Responsible Lending Code</w:t>
      </w:r>
    </w:p>
    <w:p w14:paraId="426F0F11" w14:textId="77777777" w:rsidR="00695886" w:rsidRDefault="00695886" w:rsidP="00695886">
      <w:pPr>
        <w:ind w:left="720"/>
        <w:rPr>
          <w:lang w:val="en-GB"/>
        </w:rPr>
      </w:pPr>
      <w:r w:rsidRPr="008D627D">
        <w:rPr>
          <w:lang w:val="en-GB"/>
        </w:rPr>
        <w:tab/>
      </w:r>
    </w:p>
    <w:p w14:paraId="39A1D844" w14:textId="77777777" w:rsidR="00695886" w:rsidRPr="008D627D" w:rsidRDefault="00695886" w:rsidP="00695886">
      <w:pPr>
        <w:ind w:left="720"/>
        <w:rPr>
          <w:lang w:val="en-GB"/>
        </w:rPr>
      </w:pPr>
    </w:p>
    <w:p w14:paraId="10F2816C" w14:textId="77777777" w:rsidR="00695886" w:rsidRDefault="00695886" w:rsidP="00695886">
      <w:pPr>
        <w:rPr>
          <w:lang w:val="en-GB"/>
        </w:rPr>
      </w:pPr>
      <w:r w:rsidRPr="006C3CC1">
        <w:rPr>
          <w:rStyle w:val="Heading4Char"/>
          <w:lang w:val="en-GB"/>
        </w:rPr>
        <w:t>Credit fees</w:t>
      </w:r>
      <w:r>
        <w:rPr>
          <w:lang w:val="en-GB"/>
        </w:rPr>
        <w:t xml:space="preserve"> </w:t>
      </w:r>
    </w:p>
    <w:p w14:paraId="425BC21C" w14:textId="77777777" w:rsidR="00695886" w:rsidRDefault="00695886" w:rsidP="00695886">
      <w:pPr>
        <w:ind w:left="720"/>
        <w:rPr>
          <w:lang w:val="en-GB"/>
        </w:rPr>
      </w:pPr>
    </w:p>
    <w:p w14:paraId="553276A6" w14:textId="77777777" w:rsidR="00695886" w:rsidRDefault="00695886" w:rsidP="00695886">
      <w:pPr>
        <w:rPr>
          <w:lang w:val="en-GB"/>
        </w:rPr>
      </w:pPr>
      <w:r>
        <w:rPr>
          <w:lang w:val="en-GB"/>
        </w:rPr>
        <w:t xml:space="preserve">These are </w:t>
      </w:r>
      <w:r w:rsidRPr="008D627D">
        <w:rPr>
          <w:lang w:val="en-GB"/>
        </w:rPr>
        <w:t>fees charged by the creditor. These are not allowed to be ‘unreasonable’. They might include:</w:t>
      </w:r>
    </w:p>
    <w:p w14:paraId="0BFEAD47" w14:textId="77777777" w:rsidR="00695886" w:rsidRPr="006C3CC1" w:rsidRDefault="00695886" w:rsidP="00695886">
      <w:pPr>
        <w:pStyle w:val="ListParagraph"/>
        <w:numPr>
          <w:ilvl w:val="0"/>
          <w:numId w:val="1"/>
        </w:numPr>
        <w:ind w:left="1440"/>
        <w:rPr>
          <w:lang w:val="en-GB"/>
        </w:rPr>
      </w:pPr>
      <w:r w:rsidRPr="006C3CC1">
        <w:rPr>
          <w:lang w:val="en-GB"/>
        </w:rPr>
        <w:t>establishment fees – processing, documentation etc.</w:t>
      </w:r>
    </w:p>
    <w:p w14:paraId="444A30A5" w14:textId="77777777" w:rsidR="00695886" w:rsidRPr="006C3CC1" w:rsidRDefault="00695886" w:rsidP="00695886">
      <w:pPr>
        <w:pStyle w:val="ListParagraph"/>
        <w:numPr>
          <w:ilvl w:val="0"/>
          <w:numId w:val="1"/>
        </w:numPr>
        <w:ind w:left="1440"/>
        <w:rPr>
          <w:lang w:val="en-GB"/>
        </w:rPr>
      </w:pPr>
      <w:r w:rsidRPr="006C3CC1">
        <w:rPr>
          <w:lang w:val="en-GB"/>
        </w:rPr>
        <w:t xml:space="preserve">prepayment fees – incurred if the debtor pays off all or part of the debt early </w:t>
      </w:r>
    </w:p>
    <w:p w14:paraId="6D38F817" w14:textId="77777777" w:rsidR="00695886" w:rsidRPr="006C3CC1" w:rsidRDefault="00695886" w:rsidP="00695886">
      <w:pPr>
        <w:pStyle w:val="ListParagraph"/>
        <w:numPr>
          <w:ilvl w:val="0"/>
          <w:numId w:val="1"/>
        </w:numPr>
        <w:ind w:left="1440"/>
        <w:rPr>
          <w:lang w:val="en-GB"/>
        </w:rPr>
      </w:pPr>
      <w:r w:rsidRPr="006C3CC1">
        <w:rPr>
          <w:lang w:val="en-GB"/>
        </w:rPr>
        <w:t>default fees – a fee for failing to make payments according to the agreed schedule.</w:t>
      </w:r>
    </w:p>
    <w:p w14:paraId="3D927581" w14:textId="77777777" w:rsidR="00695886" w:rsidRPr="008D627D" w:rsidRDefault="00695886" w:rsidP="00695886">
      <w:pPr>
        <w:ind w:left="720"/>
        <w:rPr>
          <w:lang w:val="en-GB"/>
        </w:rPr>
      </w:pPr>
    </w:p>
    <w:p w14:paraId="36B2A61D" w14:textId="77777777" w:rsidR="00695886" w:rsidRPr="006C3CC1" w:rsidRDefault="00695886" w:rsidP="00695886">
      <w:pPr>
        <w:ind w:left="720"/>
        <w:rPr>
          <w:i/>
          <w:iCs/>
          <w:lang w:val="en-GB"/>
        </w:rPr>
      </w:pPr>
      <w:r w:rsidRPr="006C3CC1">
        <w:rPr>
          <w:i/>
          <w:iCs/>
          <w:lang w:val="en-GB"/>
        </w:rPr>
        <w:t>Fees are covered in Section 10 of the Responsible Lending Code</w:t>
      </w:r>
      <w:r w:rsidRPr="006C3CC1">
        <w:rPr>
          <w:i/>
          <w:iCs/>
          <w:lang w:val="en-GB"/>
        </w:rPr>
        <w:tab/>
      </w:r>
    </w:p>
    <w:p w14:paraId="7E9B6E9D" w14:textId="77777777" w:rsidR="00695886" w:rsidRDefault="00695886" w:rsidP="00695886">
      <w:pPr>
        <w:ind w:left="720"/>
        <w:rPr>
          <w:lang w:val="en-GB"/>
        </w:rPr>
      </w:pPr>
    </w:p>
    <w:p w14:paraId="2BEF7333" w14:textId="77777777" w:rsidR="00695886" w:rsidRPr="008D627D" w:rsidRDefault="00695886" w:rsidP="00695886">
      <w:pPr>
        <w:ind w:left="720"/>
        <w:rPr>
          <w:lang w:val="en-GB"/>
        </w:rPr>
      </w:pPr>
    </w:p>
    <w:p w14:paraId="1C23303D" w14:textId="77777777" w:rsidR="00695886" w:rsidRDefault="00695886" w:rsidP="00695886">
      <w:pPr>
        <w:rPr>
          <w:lang w:val="en-GB"/>
        </w:rPr>
      </w:pPr>
      <w:r w:rsidRPr="006C3CC1">
        <w:rPr>
          <w:rStyle w:val="Heading4Char"/>
          <w:lang w:val="en-GB"/>
        </w:rPr>
        <w:t>Disclosure statement</w:t>
      </w:r>
      <w:r w:rsidRPr="008D627D">
        <w:rPr>
          <w:lang w:val="en-GB"/>
        </w:rPr>
        <w:t xml:space="preserve"> </w:t>
      </w:r>
    </w:p>
    <w:p w14:paraId="0CFE5D4B" w14:textId="77777777" w:rsidR="00695886" w:rsidRDefault="00695886" w:rsidP="00695886">
      <w:pPr>
        <w:ind w:left="720"/>
        <w:rPr>
          <w:lang w:val="en-GB"/>
        </w:rPr>
      </w:pPr>
    </w:p>
    <w:p w14:paraId="154DC484" w14:textId="77777777" w:rsidR="00695886" w:rsidRPr="008D627D" w:rsidRDefault="00695886" w:rsidP="00695886">
      <w:pPr>
        <w:rPr>
          <w:lang w:val="en-GB"/>
        </w:rPr>
      </w:pPr>
      <w:r>
        <w:rPr>
          <w:lang w:val="en-GB"/>
        </w:rPr>
        <w:t>U</w:t>
      </w:r>
      <w:r w:rsidRPr="008D627D">
        <w:rPr>
          <w:lang w:val="en-GB"/>
        </w:rPr>
        <w:t>nder the Credit Contract and Consumer Finance Act (2003) creditors are required to provide a disclosure statement to people taking out any form of credit contract. This statement should be in a clear and easy-to-understand form. In the case of a credit sale the disclosure statement must contain details including:</w:t>
      </w:r>
    </w:p>
    <w:p w14:paraId="6378AD41" w14:textId="77777777" w:rsidR="00695886" w:rsidRPr="006C3CC1" w:rsidRDefault="00695886" w:rsidP="00695886">
      <w:pPr>
        <w:pStyle w:val="ListParagraph"/>
        <w:numPr>
          <w:ilvl w:val="0"/>
          <w:numId w:val="2"/>
        </w:numPr>
        <w:ind w:left="1440"/>
        <w:rPr>
          <w:lang w:val="en-GB"/>
        </w:rPr>
      </w:pPr>
      <w:r w:rsidRPr="006C3CC1">
        <w:rPr>
          <w:lang w:val="en-GB"/>
        </w:rPr>
        <w:t>full name and address of creditor</w:t>
      </w:r>
    </w:p>
    <w:p w14:paraId="279B8463" w14:textId="77777777" w:rsidR="00695886" w:rsidRPr="006C3CC1" w:rsidRDefault="00695886" w:rsidP="00695886">
      <w:pPr>
        <w:pStyle w:val="ListParagraph"/>
        <w:numPr>
          <w:ilvl w:val="0"/>
          <w:numId w:val="2"/>
        </w:numPr>
        <w:ind w:left="1440"/>
        <w:rPr>
          <w:lang w:val="en-GB"/>
        </w:rPr>
      </w:pPr>
      <w:r w:rsidRPr="006C3CC1">
        <w:rPr>
          <w:lang w:val="en-GB"/>
        </w:rPr>
        <w:t>initial unpaid balance</w:t>
      </w:r>
    </w:p>
    <w:p w14:paraId="1432816A" w14:textId="77777777" w:rsidR="00695886" w:rsidRPr="006C3CC1" w:rsidRDefault="00695886" w:rsidP="00695886">
      <w:pPr>
        <w:pStyle w:val="ListParagraph"/>
        <w:numPr>
          <w:ilvl w:val="0"/>
          <w:numId w:val="2"/>
        </w:numPr>
        <w:ind w:left="1440"/>
        <w:rPr>
          <w:lang w:val="en-GB"/>
        </w:rPr>
      </w:pPr>
      <w:r w:rsidRPr="006C3CC1">
        <w:rPr>
          <w:lang w:val="en-GB"/>
        </w:rPr>
        <w:t>total price of the goods</w:t>
      </w:r>
    </w:p>
    <w:p w14:paraId="709B82DE" w14:textId="77777777" w:rsidR="00695886" w:rsidRPr="006C3CC1" w:rsidRDefault="00695886" w:rsidP="00695886">
      <w:pPr>
        <w:pStyle w:val="ListParagraph"/>
        <w:numPr>
          <w:ilvl w:val="0"/>
          <w:numId w:val="2"/>
        </w:numPr>
        <w:ind w:left="1440"/>
        <w:rPr>
          <w:lang w:val="en-GB"/>
        </w:rPr>
      </w:pPr>
      <w:r w:rsidRPr="006C3CC1">
        <w:rPr>
          <w:lang w:val="en-GB"/>
        </w:rPr>
        <w:t>method of charging interest</w:t>
      </w:r>
    </w:p>
    <w:p w14:paraId="18F863CE" w14:textId="77777777" w:rsidR="00695886" w:rsidRPr="006C3CC1" w:rsidRDefault="00695886" w:rsidP="00695886">
      <w:pPr>
        <w:pStyle w:val="ListParagraph"/>
        <w:numPr>
          <w:ilvl w:val="0"/>
          <w:numId w:val="2"/>
        </w:numPr>
        <w:ind w:left="1440"/>
        <w:rPr>
          <w:lang w:val="en-GB"/>
        </w:rPr>
      </w:pPr>
      <w:r w:rsidRPr="006C3CC1">
        <w:rPr>
          <w:lang w:val="en-GB"/>
        </w:rPr>
        <w:t>total interest charges</w:t>
      </w:r>
    </w:p>
    <w:p w14:paraId="0C1991B5" w14:textId="77777777" w:rsidR="00695886" w:rsidRPr="006C3CC1" w:rsidRDefault="00695886" w:rsidP="00695886">
      <w:pPr>
        <w:pStyle w:val="ListParagraph"/>
        <w:numPr>
          <w:ilvl w:val="0"/>
          <w:numId w:val="2"/>
        </w:numPr>
        <w:ind w:left="1440"/>
        <w:rPr>
          <w:lang w:val="en-GB"/>
        </w:rPr>
      </w:pPr>
      <w:r w:rsidRPr="006C3CC1">
        <w:rPr>
          <w:lang w:val="en-GB"/>
        </w:rPr>
        <w:t>credit fees or charges</w:t>
      </w:r>
    </w:p>
    <w:p w14:paraId="4BF78540" w14:textId="77777777" w:rsidR="00695886" w:rsidRPr="006C3CC1" w:rsidRDefault="00695886" w:rsidP="00695886">
      <w:pPr>
        <w:pStyle w:val="ListParagraph"/>
        <w:numPr>
          <w:ilvl w:val="0"/>
          <w:numId w:val="2"/>
        </w:numPr>
        <w:ind w:left="1440"/>
        <w:rPr>
          <w:lang w:val="en-GB"/>
        </w:rPr>
      </w:pPr>
      <w:r w:rsidRPr="006C3CC1">
        <w:rPr>
          <w:lang w:val="en-GB"/>
        </w:rPr>
        <w:t>information about payments – how many, how much, when first and last payments are due</w:t>
      </w:r>
    </w:p>
    <w:p w14:paraId="71BFC070" w14:textId="77777777" w:rsidR="00695886" w:rsidRPr="006C3CC1" w:rsidRDefault="00695886" w:rsidP="00695886">
      <w:pPr>
        <w:pStyle w:val="ListParagraph"/>
        <w:numPr>
          <w:ilvl w:val="0"/>
          <w:numId w:val="2"/>
        </w:numPr>
        <w:ind w:left="1440"/>
        <w:rPr>
          <w:lang w:val="en-GB"/>
        </w:rPr>
      </w:pPr>
      <w:r w:rsidRPr="006C3CC1">
        <w:rPr>
          <w:lang w:val="en-GB"/>
        </w:rPr>
        <w:t>charges for early repayment or for default etc.</w:t>
      </w:r>
      <w:r w:rsidRPr="006C3CC1">
        <w:rPr>
          <w:lang w:val="en-GB"/>
        </w:rPr>
        <w:tab/>
      </w:r>
    </w:p>
    <w:p w14:paraId="644680DF" w14:textId="77777777" w:rsidR="00695886" w:rsidRDefault="00695886" w:rsidP="00695886">
      <w:pPr>
        <w:ind w:left="720"/>
        <w:rPr>
          <w:lang w:val="en-GB"/>
        </w:rPr>
      </w:pPr>
    </w:p>
    <w:p w14:paraId="7FCAD256" w14:textId="77777777" w:rsidR="00695886" w:rsidRPr="008D627D" w:rsidRDefault="00695886" w:rsidP="00695886">
      <w:pPr>
        <w:ind w:left="720"/>
        <w:rPr>
          <w:lang w:val="en-GB"/>
        </w:rPr>
      </w:pPr>
    </w:p>
    <w:p w14:paraId="22F41997" w14:textId="77777777" w:rsidR="00695886" w:rsidRDefault="00695886" w:rsidP="00695886">
      <w:pPr>
        <w:rPr>
          <w:rStyle w:val="Heading4Char"/>
          <w:lang w:val="en-GB"/>
        </w:rPr>
      </w:pPr>
      <w:r w:rsidRPr="006C3CC1">
        <w:rPr>
          <w:rStyle w:val="Heading4Char"/>
          <w:lang w:val="en-GB"/>
        </w:rPr>
        <w:t>Guarantor</w:t>
      </w:r>
    </w:p>
    <w:p w14:paraId="09868283" w14:textId="77777777" w:rsidR="00695886" w:rsidRDefault="00695886" w:rsidP="00695886">
      <w:pPr>
        <w:ind w:left="720"/>
        <w:rPr>
          <w:rStyle w:val="Heading4Char"/>
          <w:lang w:val="en-GB"/>
        </w:rPr>
      </w:pPr>
    </w:p>
    <w:p w14:paraId="0849881A" w14:textId="77777777" w:rsidR="00695886" w:rsidRPr="008D627D" w:rsidRDefault="00695886" w:rsidP="00695886">
      <w:pPr>
        <w:rPr>
          <w:lang w:val="en-GB"/>
        </w:rPr>
      </w:pPr>
      <w:r w:rsidRPr="00946FA5">
        <w:rPr>
          <w:rStyle w:val="Heading4Char"/>
          <w:bCs/>
          <w:lang w:val="en-GB"/>
        </w:rPr>
        <w:t xml:space="preserve">A </w:t>
      </w:r>
      <w:r w:rsidRPr="008D627D">
        <w:rPr>
          <w:lang w:val="en-GB"/>
        </w:rPr>
        <w:t xml:space="preserve">person who promises to be responsible for the debt of another person. This will normally be a friend or family member. By doing so the guarantor is agreeing to repay the loan if the client fails to do so for any reason. Many clients ask relatives to be guarantors and neither the client nor the guarantor understands the risk that the guarantor is taking on. People who are not considered an acceptable credit risk will often be required to have a guarantor. </w:t>
      </w:r>
    </w:p>
    <w:p w14:paraId="07F6FCE1" w14:textId="77777777" w:rsidR="00695886" w:rsidRDefault="00695886" w:rsidP="00695886">
      <w:pPr>
        <w:ind w:left="720"/>
        <w:rPr>
          <w:lang w:val="en-GB"/>
        </w:rPr>
      </w:pPr>
    </w:p>
    <w:p w14:paraId="294FF664" w14:textId="77777777" w:rsidR="00695886" w:rsidRPr="008D627D" w:rsidRDefault="00695886" w:rsidP="00695886">
      <w:pPr>
        <w:rPr>
          <w:lang w:val="en-GB"/>
        </w:rPr>
      </w:pPr>
      <w:r w:rsidRPr="008D627D">
        <w:rPr>
          <w:lang w:val="en-GB"/>
        </w:rPr>
        <w:t xml:space="preserve">Teenagers without a credit rating who want credit can usually only obtain it if a relative is willing to be a guarantor. Most vehicles bought by young adults are purchased with the assistance of a guarantor. </w:t>
      </w:r>
    </w:p>
    <w:p w14:paraId="7BAC2C12" w14:textId="77777777" w:rsidR="00695886" w:rsidRPr="008D627D" w:rsidRDefault="00695886" w:rsidP="00695886">
      <w:pPr>
        <w:ind w:left="720"/>
        <w:rPr>
          <w:lang w:val="en-GB"/>
        </w:rPr>
      </w:pPr>
    </w:p>
    <w:p w14:paraId="1723B543" w14:textId="77777777" w:rsidR="00695886" w:rsidRDefault="00695886" w:rsidP="00695886">
      <w:pPr>
        <w:rPr>
          <w:lang w:val="en-GB"/>
        </w:rPr>
      </w:pPr>
      <w:r w:rsidRPr="008D627D">
        <w:rPr>
          <w:lang w:val="en-GB"/>
        </w:rPr>
        <w:t>It is a reasonable condition to impose</w:t>
      </w:r>
      <w:r>
        <w:rPr>
          <w:lang w:val="en-GB"/>
        </w:rPr>
        <w:t>,</w:t>
      </w:r>
      <w:r w:rsidRPr="008D627D">
        <w:rPr>
          <w:lang w:val="en-GB"/>
        </w:rPr>
        <w:t xml:space="preserve"> </w:t>
      </w:r>
      <w:proofErr w:type="gramStart"/>
      <w:r w:rsidRPr="008D627D">
        <w:rPr>
          <w:lang w:val="en-GB"/>
        </w:rPr>
        <w:t>as long as</w:t>
      </w:r>
      <w:proofErr w:type="gramEnd"/>
      <w:r w:rsidRPr="008D627D">
        <w:rPr>
          <w:lang w:val="en-GB"/>
        </w:rPr>
        <w:t xml:space="preserve"> both parties understand what is happening – that the guarantor is assuming liability for the loan if the client defaults. You should make very sure that clients are aware of this if they are asked to be a guarantor for another person.</w:t>
      </w:r>
    </w:p>
    <w:p w14:paraId="4FED9598" w14:textId="77777777" w:rsidR="00695886" w:rsidRPr="008D627D" w:rsidRDefault="00695886" w:rsidP="00695886">
      <w:pPr>
        <w:ind w:left="720"/>
        <w:rPr>
          <w:lang w:val="en-GB"/>
        </w:rPr>
      </w:pPr>
    </w:p>
    <w:p w14:paraId="6890C248" w14:textId="77777777" w:rsidR="00695886" w:rsidRPr="006A1FD7" w:rsidRDefault="00695886" w:rsidP="00695886">
      <w:pPr>
        <w:ind w:left="720"/>
        <w:rPr>
          <w:i/>
          <w:iCs/>
          <w:lang w:val="en-GB"/>
        </w:rPr>
      </w:pPr>
      <w:r w:rsidRPr="006A1FD7">
        <w:rPr>
          <w:i/>
          <w:iCs/>
          <w:lang w:val="en-GB"/>
        </w:rPr>
        <w:t>Guarantors (Inquiries into and assessment of substantial hardship – guarantors) is covered in Section 6 of the Responsible Lending Code.</w:t>
      </w:r>
      <w:r w:rsidRPr="006A1FD7">
        <w:rPr>
          <w:i/>
          <w:iCs/>
          <w:lang w:val="en-GB"/>
        </w:rPr>
        <w:tab/>
      </w:r>
    </w:p>
    <w:p w14:paraId="147A2ABC" w14:textId="77777777" w:rsidR="00695886" w:rsidRDefault="00695886" w:rsidP="00695886">
      <w:pPr>
        <w:ind w:left="720"/>
        <w:rPr>
          <w:lang w:val="en-GB"/>
        </w:rPr>
      </w:pPr>
    </w:p>
    <w:p w14:paraId="2DC63B53" w14:textId="77777777" w:rsidR="00695886" w:rsidRDefault="00695886" w:rsidP="00695886">
      <w:pPr>
        <w:rPr>
          <w:lang w:val="en-GB"/>
        </w:rPr>
      </w:pPr>
      <w:r w:rsidRPr="006A1FD7">
        <w:rPr>
          <w:rStyle w:val="Heading4Char"/>
          <w:lang w:val="en-GB"/>
        </w:rPr>
        <w:t>Insurance</w:t>
      </w:r>
    </w:p>
    <w:p w14:paraId="28DEAE81" w14:textId="77777777" w:rsidR="00695886" w:rsidRDefault="00695886" w:rsidP="00695886">
      <w:pPr>
        <w:ind w:left="720"/>
        <w:rPr>
          <w:lang w:val="en-GB"/>
        </w:rPr>
      </w:pPr>
    </w:p>
    <w:p w14:paraId="01D94C0E" w14:textId="77777777" w:rsidR="00695886" w:rsidRDefault="00695886" w:rsidP="00695886">
      <w:pPr>
        <w:rPr>
          <w:lang w:val="en-GB"/>
        </w:rPr>
      </w:pPr>
      <w:r>
        <w:rPr>
          <w:lang w:val="en-GB"/>
        </w:rPr>
        <w:t>F</w:t>
      </w:r>
      <w:r w:rsidRPr="008D627D">
        <w:rPr>
          <w:lang w:val="en-GB"/>
        </w:rPr>
        <w:t>requently clients are required as a condition of the contract to keep fully insured the goods they have bought. This always applies to vehicles bought on credit. If the client reduces the insurance cover (perhaps from full comprehensive cover to third party, fire and theft cover only) the client is in breach of the contract.</w:t>
      </w:r>
    </w:p>
    <w:p w14:paraId="0847699D" w14:textId="77777777" w:rsidR="00695886" w:rsidRPr="008D627D" w:rsidRDefault="00695886" w:rsidP="00695886">
      <w:pPr>
        <w:ind w:left="720"/>
        <w:rPr>
          <w:lang w:val="en-GB"/>
        </w:rPr>
      </w:pPr>
    </w:p>
    <w:p w14:paraId="36AB6C2D" w14:textId="77777777" w:rsidR="00695886" w:rsidRPr="00D24B32" w:rsidRDefault="00695886" w:rsidP="00695886">
      <w:pPr>
        <w:ind w:left="720"/>
        <w:rPr>
          <w:i/>
          <w:iCs/>
          <w:lang w:val="en-GB"/>
        </w:rPr>
      </w:pPr>
      <w:r w:rsidRPr="00D24B32">
        <w:rPr>
          <w:i/>
          <w:iCs/>
          <w:lang w:val="en-GB"/>
        </w:rPr>
        <w:t>Insurance is covered in Section 9 of the Responsible Lending Code.</w:t>
      </w:r>
    </w:p>
    <w:p w14:paraId="6961D766" w14:textId="77777777" w:rsidR="00695886" w:rsidRDefault="00695886" w:rsidP="00695886">
      <w:pPr>
        <w:ind w:left="720"/>
        <w:rPr>
          <w:lang w:val="en-GB"/>
        </w:rPr>
      </w:pPr>
    </w:p>
    <w:p w14:paraId="69914589" w14:textId="77777777" w:rsidR="00695886" w:rsidRPr="008D627D" w:rsidRDefault="00695886" w:rsidP="00695886">
      <w:pPr>
        <w:ind w:left="720"/>
        <w:rPr>
          <w:lang w:val="en-GB"/>
        </w:rPr>
      </w:pPr>
      <w:r w:rsidRPr="008D627D">
        <w:rPr>
          <w:lang w:val="en-GB"/>
        </w:rPr>
        <w:tab/>
      </w:r>
    </w:p>
    <w:p w14:paraId="05257EAD" w14:textId="77777777" w:rsidR="00695886" w:rsidRDefault="00695886" w:rsidP="00695886">
      <w:pPr>
        <w:rPr>
          <w:lang w:val="en-GB"/>
        </w:rPr>
      </w:pPr>
      <w:r w:rsidRPr="006A1FD7">
        <w:rPr>
          <w:rStyle w:val="Heading4Char"/>
          <w:lang w:val="en-GB"/>
        </w:rPr>
        <w:t>Interest charges</w:t>
      </w:r>
      <w:r w:rsidRPr="008D627D">
        <w:rPr>
          <w:lang w:val="en-GB"/>
        </w:rPr>
        <w:t xml:space="preserve"> </w:t>
      </w:r>
    </w:p>
    <w:p w14:paraId="0A796787" w14:textId="77777777" w:rsidR="00695886" w:rsidRDefault="00695886" w:rsidP="00695886">
      <w:pPr>
        <w:ind w:left="720"/>
        <w:rPr>
          <w:lang w:val="en-GB"/>
        </w:rPr>
      </w:pPr>
    </w:p>
    <w:p w14:paraId="6E854DC1" w14:textId="77777777" w:rsidR="00695886" w:rsidRDefault="00695886" w:rsidP="00695886">
      <w:pPr>
        <w:rPr>
          <w:lang w:val="en-GB"/>
        </w:rPr>
      </w:pPr>
      <w:r>
        <w:rPr>
          <w:lang w:val="en-GB"/>
        </w:rPr>
        <w:t>I</w:t>
      </w:r>
      <w:r w:rsidRPr="008D627D">
        <w:rPr>
          <w:lang w:val="en-GB"/>
        </w:rPr>
        <w:t>nterest mounts up over time and is determined by applying a rate (expressed as a percentage) to the unpaid balance. The interest rate and the total amount of interest to be paid must be included in the Disclosure Statement.</w:t>
      </w:r>
    </w:p>
    <w:p w14:paraId="0B04C94C" w14:textId="77777777" w:rsidR="00695886" w:rsidRPr="008D627D" w:rsidRDefault="00695886" w:rsidP="00695886">
      <w:pPr>
        <w:ind w:left="720"/>
        <w:rPr>
          <w:lang w:val="en-GB"/>
        </w:rPr>
      </w:pPr>
    </w:p>
    <w:p w14:paraId="51AB168A" w14:textId="77777777" w:rsidR="00695886" w:rsidRPr="006A1FD7" w:rsidRDefault="00695886" w:rsidP="00695886">
      <w:pPr>
        <w:ind w:left="720"/>
        <w:rPr>
          <w:i/>
          <w:iCs/>
          <w:lang w:val="en-GB"/>
        </w:rPr>
      </w:pPr>
      <w:r w:rsidRPr="006A1FD7">
        <w:rPr>
          <w:i/>
          <w:iCs/>
          <w:lang w:val="en-GB"/>
        </w:rPr>
        <w:t>Interest charges are briefly covered in Section 10 and Section 16 (Appendix) of the Responsible Lending Code</w:t>
      </w:r>
    </w:p>
    <w:p w14:paraId="2B8C933C" w14:textId="77777777" w:rsidR="00695886" w:rsidRDefault="00695886" w:rsidP="00695886">
      <w:pPr>
        <w:rPr>
          <w:lang w:val="en-GB"/>
        </w:rPr>
      </w:pPr>
    </w:p>
    <w:p w14:paraId="4AF93C3D" w14:textId="77777777" w:rsidR="00695886" w:rsidRDefault="00695886" w:rsidP="00695886">
      <w:pPr>
        <w:rPr>
          <w:lang w:val="en-GB"/>
        </w:rPr>
      </w:pPr>
    </w:p>
    <w:p w14:paraId="5688C906" w14:textId="77777777" w:rsidR="00695886" w:rsidRDefault="00695886" w:rsidP="00695886">
      <w:pPr>
        <w:rPr>
          <w:lang w:val="en-GB"/>
        </w:rPr>
      </w:pPr>
      <w:r w:rsidRPr="006A1FD7">
        <w:rPr>
          <w:rStyle w:val="Heading4Char"/>
          <w:lang w:val="en-GB"/>
        </w:rPr>
        <w:t>Chattels</w:t>
      </w:r>
    </w:p>
    <w:p w14:paraId="5894D55A" w14:textId="77777777" w:rsidR="00695886" w:rsidRDefault="00695886" w:rsidP="00695886">
      <w:pPr>
        <w:ind w:left="720"/>
        <w:rPr>
          <w:lang w:val="en-GB"/>
        </w:rPr>
      </w:pPr>
    </w:p>
    <w:p w14:paraId="60C9C64B" w14:textId="77777777" w:rsidR="00695886" w:rsidRDefault="00695886" w:rsidP="00695886">
      <w:pPr>
        <w:rPr>
          <w:lang w:val="en-GB"/>
        </w:rPr>
      </w:pPr>
      <w:r>
        <w:rPr>
          <w:lang w:val="en-GB"/>
        </w:rPr>
        <w:t>P</w:t>
      </w:r>
      <w:r w:rsidRPr="008D627D">
        <w:rPr>
          <w:lang w:val="en-GB"/>
        </w:rPr>
        <w:t>roperty owned by the client that may also be offered as security for a loan</w:t>
      </w:r>
      <w:r>
        <w:rPr>
          <w:lang w:val="en-GB"/>
        </w:rPr>
        <w:t>. S</w:t>
      </w:r>
      <w:r w:rsidRPr="008D627D">
        <w:rPr>
          <w:lang w:val="en-GB"/>
        </w:rPr>
        <w:t>ome clients may be persuaded to offer chattels that are many times the value of the loan, as security for the amount borrowed. If the client defaults on the loan the creditor can seize the chattels and sell them to recover their money.</w:t>
      </w:r>
    </w:p>
    <w:p w14:paraId="37C91AF7" w14:textId="77777777" w:rsidR="00695886" w:rsidRPr="008D627D" w:rsidRDefault="00695886" w:rsidP="00695886">
      <w:pPr>
        <w:ind w:left="720"/>
        <w:rPr>
          <w:lang w:val="en-GB"/>
        </w:rPr>
      </w:pPr>
    </w:p>
    <w:p w14:paraId="674E4B9B" w14:textId="66D076CC" w:rsidR="00701DD1" w:rsidRDefault="00695886" w:rsidP="00695886">
      <w:r w:rsidRPr="008D627D">
        <w:rPr>
          <w:lang w:val="en-GB"/>
        </w:rPr>
        <w:t xml:space="preserve">Loans in which chattels are used as security have become more and more common. Since new legislation </w:t>
      </w:r>
      <w:r>
        <w:rPr>
          <w:lang w:val="en-GB"/>
        </w:rPr>
        <w:t xml:space="preserve">was put in place </w:t>
      </w:r>
      <w:r w:rsidRPr="008D627D">
        <w:rPr>
          <w:lang w:val="en-GB"/>
        </w:rPr>
        <w:t xml:space="preserve">all security must be specifically listed in the contract restrictions on what can be taken as security (no essential items can be listed). </w:t>
      </w:r>
    </w:p>
    <w:sectPr w:rsidR="00701DD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80CC" w14:textId="77777777" w:rsidR="00695886" w:rsidRDefault="00695886" w:rsidP="00695886">
      <w:r>
        <w:separator/>
      </w:r>
    </w:p>
  </w:endnote>
  <w:endnote w:type="continuationSeparator" w:id="0">
    <w:p w14:paraId="4F30E585" w14:textId="77777777" w:rsidR="00695886" w:rsidRDefault="00695886" w:rsidP="0069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2E" w14:textId="5783E328" w:rsidR="00695886" w:rsidRDefault="00695886" w:rsidP="00695886">
    <w:pPr>
      <w:jc w:val="right"/>
      <w:rPr>
        <w:lang w:val="en-GB"/>
      </w:rPr>
    </w:pPr>
    <w:r>
      <w:rPr>
        <w:lang w:val="en-GB"/>
      </w:rPr>
      <w:t xml:space="preserve">Module 7 - Common credit terminology </w:t>
    </w:r>
    <w:r>
      <w:rPr>
        <w:noProof/>
      </w:rPr>
      <w:drawing>
        <wp:inline distT="0" distB="0" distL="0" distR="0" wp14:anchorId="79AE5C41" wp14:editId="31162AF1">
          <wp:extent cx="1038225" cy="566925"/>
          <wp:effectExtent l="0" t="0" r="0" b="508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0161" cy="573443"/>
                  </a:xfrm>
                  <a:prstGeom prst="rect">
                    <a:avLst/>
                  </a:prstGeom>
                </pic:spPr>
              </pic:pic>
            </a:graphicData>
          </a:graphic>
        </wp:inline>
      </w:drawing>
    </w:r>
  </w:p>
  <w:p w14:paraId="42FCFDA9" w14:textId="77777777" w:rsidR="00695886" w:rsidRDefault="00695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77A4" w14:textId="77777777" w:rsidR="00695886" w:rsidRDefault="00695886" w:rsidP="00695886">
      <w:r>
        <w:separator/>
      </w:r>
    </w:p>
  </w:footnote>
  <w:footnote w:type="continuationSeparator" w:id="0">
    <w:p w14:paraId="6CB5F201" w14:textId="77777777" w:rsidR="00695886" w:rsidRDefault="00695886" w:rsidP="0069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F24"/>
    <w:multiLevelType w:val="hybridMultilevel"/>
    <w:tmpl w:val="0D62E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076E14"/>
    <w:multiLevelType w:val="hybridMultilevel"/>
    <w:tmpl w:val="A5F66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86"/>
    <w:rsid w:val="00096D4C"/>
    <w:rsid w:val="002126D2"/>
    <w:rsid w:val="003C4915"/>
    <w:rsid w:val="00695886"/>
    <w:rsid w:val="00701DD1"/>
    <w:rsid w:val="008A6C97"/>
    <w:rsid w:val="00E37CDA"/>
    <w:rsid w:val="00E92213"/>
    <w:rsid w:val="00F606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874D"/>
  <w15:chartTrackingRefBased/>
  <w15:docId w15:val="{89A45AA1-B586-4518-92D5-A7508E99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86"/>
    <w:pPr>
      <w:spacing w:after="0" w:line="240" w:lineRule="auto"/>
      <w:contextualSpacing/>
    </w:pPr>
  </w:style>
  <w:style w:type="paragraph" w:styleId="Heading1">
    <w:name w:val="heading 1"/>
    <w:basedOn w:val="Normal"/>
    <w:next w:val="Normal"/>
    <w:link w:val="Heading1Char"/>
    <w:uiPriority w:val="9"/>
    <w:qFormat/>
    <w:rsid w:val="002126D2"/>
    <w:pPr>
      <w:keepNext/>
      <w:keepLines/>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2126D2"/>
    <w:pPr>
      <w:keepNext/>
      <w:keepLines/>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2126D2"/>
    <w:pPr>
      <w:keepNext/>
      <w:keepLines/>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2126D2"/>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8A6C97"/>
    <w:pPr>
      <w:keepNext/>
      <w:keepLines/>
      <w:spacing w:before="40"/>
      <w:outlineLvl w:val="4"/>
    </w:pPr>
    <w:rPr>
      <w:rFonts w:eastAsiaTheme="majorEastAsia" w:cstheme="majorBidi"/>
      <w:color w:val="B312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D2"/>
    <w:rPr>
      <w:rFonts w:eastAsiaTheme="majorEastAsia" w:cstheme="majorBidi"/>
      <w:b/>
      <w:color w:val="000000" w:themeColor="text1"/>
      <w:sz w:val="48"/>
      <w:szCs w:val="32"/>
    </w:rPr>
  </w:style>
  <w:style w:type="character" w:customStyle="1" w:styleId="Heading2Char">
    <w:name w:val="Heading 2 Char"/>
    <w:basedOn w:val="DefaultParagraphFont"/>
    <w:link w:val="Heading2"/>
    <w:uiPriority w:val="9"/>
    <w:rsid w:val="002126D2"/>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2126D2"/>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2126D2"/>
    <w:rPr>
      <w:rFonts w:eastAsiaTheme="majorEastAsia" w:cstheme="majorBidi"/>
      <w:b/>
      <w:iCs/>
      <w:color w:val="000000" w:themeColor="text1"/>
    </w:rPr>
  </w:style>
  <w:style w:type="character" w:customStyle="1" w:styleId="Heading5Char">
    <w:name w:val="Heading 5 Char"/>
    <w:basedOn w:val="DefaultParagraphFont"/>
    <w:link w:val="Heading5"/>
    <w:uiPriority w:val="9"/>
    <w:rsid w:val="008A6C97"/>
    <w:rPr>
      <w:rFonts w:eastAsiaTheme="majorEastAsia" w:cstheme="majorBidi"/>
      <w:color w:val="B31244" w:themeColor="accent1" w:themeShade="BF"/>
    </w:rPr>
  </w:style>
  <w:style w:type="paragraph" w:styleId="Title">
    <w:name w:val="Title"/>
    <w:aliases w:val="Cover page"/>
    <w:basedOn w:val="Normal"/>
    <w:next w:val="Normal"/>
    <w:link w:val="TitleChar"/>
    <w:uiPriority w:val="10"/>
    <w:qFormat/>
    <w:rsid w:val="002126D2"/>
    <w:pPr>
      <w:jc w:val="center"/>
    </w:pPr>
    <w:rPr>
      <w:rFonts w:eastAsiaTheme="majorEastAsia" w:cstheme="majorBidi"/>
      <w:b/>
      <w:spacing w:val="-10"/>
      <w:kern w:val="28"/>
      <w:sz w:val="110"/>
      <w:szCs w:val="56"/>
    </w:rPr>
  </w:style>
  <w:style w:type="character" w:customStyle="1" w:styleId="TitleChar">
    <w:name w:val="Title Char"/>
    <w:aliases w:val="Cover page Char"/>
    <w:basedOn w:val="DefaultParagraphFont"/>
    <w:link w:val="Title"/>
    <w:uiPriority w:val="10"/>
    <w:rsid w:val="002126D2"/>
    <w:rPr>
      <w:rFonts w:eastAsiaTheme="majorEastAsia" w:cstheme="majorBidi"/>
      <w:b/>
      <w:spacing w:val="-10"/>
      <w:kern w:val="28"/>
      <w:sz w:val="110"/>
      <w:szCs w:val="56"/>
    </w:rPr>
  </w:style>
  <w:style w:type="paragraph" w:styleId="NoSpacing">
    <w:name w:val="No Spacing"/>
    <w:uiPriority w:val="1"/>
    <w:rsid w:val="008A6C97"/>
    <w:pPr>
      <w:spacing w:after="0" w:line="240" w:lineRule="auto"/>
    </w:pPr>
  </w:style>
  <w:style w:type="paragraph" w:styleId="ListParagraph">
    <w:name w:val="List Paragraph"/>
    <w:basedOn w:val="Normal"/>
    <w:link w:val="ListParagraphChar"/>
    <w:uiPriority w:val="34"/>
    <w:rsid w:val="00096D4C"/>
    <w:pPr>
      <w:ind w:left="720"/>
    </w:pPr>
  </w:style>
  <w:style w:type="paragraph" w:styleId="Quote">
    <w:name w:val="Quote"/>
    <w:basedOn w:val="Normal"/>
    <w:next w:val="Normal"/>
    <w:link w:val="QuoteChar"/>
    <w:uiPriority w:val="29"/>
    <w:qFormat/>
    <w:rsid w:val="00096D4C"/>
    <w:pPr>
      <w:spacing w:before="200"/>
      <w:ind w:left="864" w:right="864"/>
    </w:pPr>
    <w:rPr>
      <w:rFonts w:ascii="Georgia" w:hAnsi="Georgia"/>
      <w:i/>
      <w:iCs/>
      <w:color w:val="404040" w:themeColor="text1" w:themeTint="BF"/>
      <w:sz w:val="28"/>
    </w:rPr>
  </w:style>
  <w:style w:type="character" w:customStyle="1" w:styleId="QuoteChar">
    <w:name w:val="Quote Char"/>
    <w:basedOn w:val="DefaultParagraphFont"/>
    <w:link w:val="Quote"/>
    <w:uiPriority w:val="29"/>
    <w:rsid w:val="00096D4C"/>
    <w:rPr>
      <w:rFonts w:ascii="Georgia" w:hAnsi="Georgia"/>
      <w:i/>
      <w:iCs/>
      <w:color w:val="404040" w:themeColor="text1" w:themeTint="BF"/>
      <w:sz w:val="28"/>
    </w:rPr>
  </w:style>
  <w:style w:type="character" w:customStyle="1" w:styleId="ListParagraphChar">
    <w:name w:val="List Paragraph Char"/>
    <w:basedOn w:val="DefaultParagraphFont"/>
    <w:link w:val="ListParagraph"/>
    <w:uiPriority w:val="34"/>
    <w:rsid w:val="00695886"/>
  </w:style>
  <w:style w:type="paragraph" w:styleId="Header">
    <w:name w:val="header"/>
    <w:basedOn w:val="Normal"/>
    <w:link w:val="HeaderChar"/>
    <w:uiPriority w:val="99"/>
    <w:unhideWhenUsed/>
    <w:rsid w:val="00695886"/>
    <w:pPr>
      <w:tabs>
        <w:tab w:val="center" w:pos="4513"/>
        <w:tab w:val="right" w:pos="9026"/>
      </w:tabs>
    </w:pPr>
  </w:style>
  <w:style w:type="character" w:customStyle="1" w:styleId="HeaderChar">
    <w:name w:val="Header Char"/>
    <w:basedOn w:val="DefaultParagraphFont"/>
    <w:link w:val="Header"/>
    <w:uiPriority w:val="99"/>
    <w:rsid w:val="00695886"/>
  </w:style>
  <w:style w:type="paragraph" w:styleId="Footer">
    <w:name w:val="footer"/>
    <w:basedOn w:val="Normal"/>
    <w:link w:val="FooterChar"/>
    <w:uiPriority w:val="99"/>
    <w:unhideWhenUsed/>
    <w:rsid w:val="00695886"/>
    <w:pPr>
      <w:tabs>
        <w:tab w:val="center" w:pos="4513"/>
        <w:tab w:val="right" w:pos="9026"/>
      </w:tabs>
    </w:pPr>
  </w:style>
  <w:style w:type="character" w:customStyle="1" w:styleId="FooterChar">
    <w:name w:val="Footer Char"/>
    <w:basedOn w:val="DefaultParagraphFont"/>
    <w:link w:val="Footer"/>
    <w:uiPriority w:val="99"/>
    <w:rsid w:val="0069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Cap theme">
  <a:themeElements>
    <a:clrScheme name="FinCap Style">
      <a:dk1>
        <a:sysClr val="windowText" lastClr="000000"/>
      </a:dk1>
      <a:lt1>
        <a:sysClr val="window" lastClr="FFFFFF"/>
      </a:lt1>
      <a:dk2>
        <a:srgbClr val="484848"/>
      </a:dk2>
      <a:lt2>
        <a:srgbClr val="E7E6E6"/>
      </a:lt2>
      <a:accent1>
        <a:srgbClr val="E8215F"/>
      </a:accent1>
      <a:accent2>
        <a:srgbClr val="AA216B"/>
      </a:accent2>
      <a:accent3>
        <a:srgbClr val="EF6A45"/>
      </a:accent3>
      <a:accent4>
        <a:srgbClr val="27AAE1"/>
      </a:accent4>
      <a:accent5>
        <a:srgbClr val="B8BD3B"/>
      </a:accent5>
      <a:accent6>
        <a:srgbClr val="78BDBC"/>
      </a:accent6>
      <a:hlink>
        <a:srgbClr val="13698B"/>
      </a:hlink>
      <a:folHlink>
        <a:srgbClr val="AA216B"/>
      </a:folHlink>
    </a:clrScheme>
    <a:fontScheme name="FinCap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Linley Leong</dc:creator>
  <cp:keywords/>
  <dc:description/>
  <cp:lastModifiedBy>Linley Leong</cp:lastModifiedBy>
  <cp:revision>1</cp:revision>
  <dcterms:created xsi:type="dcterms:W3CDTF">2021-09-22T23:29:00Z</dcterms:created>
  <dcterms:modified xsi:type="dcterms:W3CDTF">2021-09-22T23:30:00Z</dcterms:modified>
</cp:coreProperties>
</file>